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720"/>
        <w:jc w:val="left"/>
        <w:rPr>
          <w:rFonts w:ascii="Arial Black" w:cs="Arial Black" w:eastAsia="Arial Black" w:hAnsi="Arial Black"/>
          <w:b w:val="0"/>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110" w:right="0" w:firstLine="720"/>
        <w:jc w:val="left"/>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0"/>
          <w:i w:val="0"/>
          <w:smallCaps w:val="0"/>
          <w:strike w:val="0"/>
          <w:color w:val="000000"/>
          <w:sz w:val="20"/>
          <w:szCs w:val="20"/>
          <w:u w:val="none"/>
          <w:shd w:fill="auto" w:val="clear"/>
          <w:vertAlign w:val="baseline"/>
        </w:rPr>
        <mc:AlternateContent>
          <mc:Choice Requires="wpg">
            <w:drawing>
              <wp:inline distB="0" distT="0" distL="0" distR="0">
                <wp:extent cx="821055" cy="568960"/>
                <wp:effectExtent b="0" l="0" r="0" t="0"/>
                <wp:docPr id="2" name=""/>
                <a:graphic>
                  <a:graphicData uri="http://schemas.microsoft.com/office/word/2010/wordprocessingGroup">
                    <wpg:wgp>
                      <wpg:cNvGrpSpPr/>
                      <wpg:grpSpPr>
                        <a:xfrm>
                          <a:off x="4934825" y="3495500"/>
                          <a:ext cx="821055" cy="568960"/>
                          <a:chOff x="4934825" y="3495500"/>
                          <a:chExt cx="822025" cy="569000"/>
                        </a:xfrm>
                      </wpg:grpSpPr>
                      <wpg:grpSp>
                        <wpg:cNvGrpSpPr/>
                        <wpg:grpSpPr>
                          <a:xfrm>
                            <a:off x="4934838" y="3495520"/>
                            <a:ext cx="817245" cy="568960"/>
                            <a:chOff x="-1" y="0"/>
                            <a:chExt cx="1287" cy="896"/>
                          </a:xfrm>
                        </wpg:grpSpPr>
                        <wps:wsp>
                          <wps:cNvSpPr/>
                          <wps:cNvPr id="3" name="Shape 3"/>
                          <wps:spPr>
                            <a:xfrm>
                              <a:off x="0" y="0"/>
                              <a:ext cx="1275" cy="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1" y="10"/>
                              <a:ext cx="1215" cy="886"/>
                            </a:xfrm>
                            <a:custGeom>
                              <a:rect b="b" l="l" r="r" t="t"/>
                              <a:pathLst>
                                <a:path extrusionOk="0" h="886" w="1215">
                                  <a:moveTo>
                                    <a:pt x="573" y="8"/>
                                  </a:moveTo>
                                  <a:lnTo>
                                    <a:pt x="0" y="8"/>
                                  </a:lnTo>
                                  <a:lnTo>
                                    <a:pt x="0" y="160"/>
                                  </a:lnTo>
                                  <a:lnTo>
                                    <a:pt x="0" y="364"/>
                                  </a:lnTo>
                                  <a:lnTo>
                                    <a:pt x="0" y="514"/>
                                  </a:lnTo>
                                  <a:lnTo>
                                    <a:pt x="0" y="726"/>
                                  </a:lnTo>
                                  <a:lnTo>
                                    <a:pt x="0" y="878"/>
                                  </a:lnTo>
                                  <a:lnTo>
                                    <a:pt x="573" y="878"/>
                                  </a:lnTo>
                                  <a:lnTo>
                                    <a:pt x="573" y="726"/>
                                  </a:lnTo>
                                  <a:lnTo>
                                    <a:pt x="170" y="726"/>
                                  </a:lnTo>
                                  <a:lnTo>
                                    <a:pt x="170" y="514"/>
                                  </a:lnTo>
                                  <a:lnTo>
                                    <a:pt x="514" y="514"/>
                                  </a:lnTo>
                                  <a:lnTo>
                                    <a:pt x="514" y="364"/>
                                  </a:lnTo>
                                  <a:lnTo>
                                    <a:pt x="170" y="364"/>
                                  </a:lnTo>
                                  <a:lnTo>
                                    <a:pt x="170" y="160"/>
                                  </a:lnTo>
                                  <a:lnTo>
                                    <a:pt x="573" y="160"/>
                                  </a:lnTo>
                                  <a:lnTo>
                                    <a:pt x="573" y="8"/>
                                  </a:lnTo>
                                  <a:close/>
                                  <a:moveTo>
                                    <a:pt x="1214" y="394"/>
                                  </a:moveTo>
                                  <a:lnTo>
                                    <a:pt x="885" y="394"/>
                                  </a:lnTo>
                                  <a:lnTo>
                                    <a:pt x="885" y="536"/>
                                  </a:lnTo>
                                  <a:lnTo>
                                    <a:pt x="1045" y="536"/>
                                  </a:lnTo>
                                  <a:lnTo>
                                    <a:pt x="1045" y="569"/>
                                  </a:lnTo>
                                  <a:lnTo>
                                    <a:pt x="1043" y="603"/>
                                  </a:lnTo>
                                  <a:lnTo>
                                    <a:pt x="1036" y="634"/>
                                  </a:lnTo>
                                  <a:lnTo>
                                    <a:pt x="1023" y="661"/>
                                  </a:lnTo>
                                  <a:lnTo>
                                    <a:pt x="1006" y="685"/>
                                  </a:lnTo>
                                  <a:lnTo>
                                    <a:pt x="982" y="707"/>
                                  </a:lnTo>
                                  <a:lnTo>
                                    <a:pt x="953" y="722"/>
                                  </a:lnTo>
                                  <a:lnTo>
                                    <a:pt x="921" y="731"/>
                                  </a:lnTo>
                                  <a:lnTo>
                                    <a:pt x="885" y="734"/>
                                  </a:lnTo>
                                  <a:lnTo>
                                    <a:pt x="852" y="731"/>
                                  </a:lnTo>
                                  <a:lnTo>
                                    <a:pt x="823" y="723"/>
                                  </a:lnTo>
                                  <a:lnTo>
                                    <a:pt x="798" y="709"/>
                                  </a:lnTo>
                                  <a:lnTo>
                                    <a:pt x="776" y="689"/>
                                  </a:lnTo>
                                  <a:lnTo>
                                    <a:pt x="756" y="657"/>
                                  </a:lnTo>
                                  <a:lnTo>
                                    <a:pt x="743" y="615"/>
                                  </a:lnTo>
                                  <a:lnTo>
                                    <a:pt x="737" y="548"/>
                                  </a:lnTo>
                                  <a:lnTo>
                                    <a:pt x="735" y="443"/>
                                  </a:lnTo>
                                  <a:lnTo>
                                    <a:pt x="737" y="338"/>
                                  </a:lnTo>
                                  <a:lnTo>
                                    <a:pt x="744" y="271"/>
                                  </a:lnTo>
                                  <a:lnTo>
                                    <a:pt x="757" y="229"/>
                                  </a:lnTo>
                                  <a:lnTo>
                                    <a:pt x="776" y="198"/>
                                  </a:lnTo>
                                  <a:lnTo>
                                    <a:pt x="798" y="178"/>
                                  </a:lnTo>
                                  <a:lnTo>
                                    <a:pt x="824" y="164"/>
                                  </a:lnTo>
                                  <a:lnTo>
                                    <a:pt x="853" y="155"/>
                                  </a:lnTo>
                                  <a:lnTo>
                                    <a:pt x="885" y="152"/>
                                  </a:lnTo>
                                  <a:lnTo>
                                    <a:pt x="942" y="160"/>
                                  </a:lnTo>
                                  <a:lnTo>
                                    <a:pt x="987" y="184"/>
                                  </a:lnTo>
                                  <a:lnTo>
                                    <a:pt x="1020" y="224"/>
                                  </a:lnTo>
                                  <a:lnTo>
                                    <a:pt x="1042" y="279"/>
                                  </a:lnTo>
                                  <a:lnTo>
                                    <a:pt x="1213" y="279"/>
                                  </a:lnTo>
                                  <a:lnTo>
                                    <a:pt x="1194" y="206"/>
                                  </a:lnTo>
                                  <a:lnTo>
                                    <a:pt x="1162" y="139"/>
                                  </a:lnTo>
                                  <a:lnTo>
                                    <a:pt x="1115" y="83"/>
                                  </a:lnTo>
                                  <a:lnTo>
                                    <a:pt x="1053" y="39"/>
                                  </a:lnTo>
                                  <a:lnTo>
                                    <a:pt x="977" y="10"/>
                                  </a:lnTo>
                                  <a:lnTo>
                                    <a:pt x="885" y="0"/>
                                  </a:lnTo>
                                  <a:lnTo>
                                    <a:pt x="818" y="6"/>
                                  </a:lnTo>
                                  <a:lnTo>
                                    <a:pt x="757" y="24"/>
                                  </a:lnTo>
                                  <a:lnTo>
                                    <a:pt x="701" y="54"/>
                                  </a:lnTo>
                                  <a:lnTo>
                                    <a:pt x="651" y="96"/>
                                  </a:lnTo>
                                  <a:lnTo>
                                    <a:pt x="625" y="125"/>
                                  </a:lnTo>
                                  <a:lnTo>
                                    <a:pt x="604" y="156"/>
                                  </a:lnTo>
                                  <a:lnTo>
                                    <a:pt x="589" y="190"/>
                                  </a:lnTo>
                                  <a:lnTo>
                                    <a:pt x="580" y="226"/>
                                  </a:lnTo>
                                  <a:lnTo>
                                    <a:pt x="573" y="268"/>
                                  </a:lnTo>
                                  <a:lnTo>
                                    <a:pt x="569" y="317"/>
                                  </a:lnTo>
                                  <a:lnTo>
                                    <a:pt x="566" y="376"/>
                                  </a:lnTo>
                                  <a:lnTo>
                                    <a:pt x="565" y="443"/>
                                  </a:lnTo>
                                  <a:lnTo>
                                    <a:pt x="566" y="510"/>
                                  </a:lnTo>
                                  <a:lnTo>
                                    <a:pt x="569" y="569"/>
                                  </a:lnTo>
                                  <a:lnTo>
                                    <a:pt x="573" y="618"/>
                                  </a:lnTo>
                                  <a:lnTo>
                                    <a:pt x="580" y="659"/>
                                  </a:lnTo>
                                  <a:lnTo>
                                    <a:pt x="589" y="695"/>
                                  </a:lnTo>
                                  <a:lnTo>
                                    <a:pt x="604" y="729"/>
                                  </a:lnTo>
                                  <a:lnTo>
                                    <a:pt x="625" y="761"/>
                                  </a:lnTo>
                                  <a:lnTo>
                                    <a:pt x="651" y="790"/>
                                  </a:lnTo>
                                  <a:lnTo>
                                    <a:pt x="701" y="832"/>
                                  </a:lnTo>
                                  <a:lnTo>
                                    <a:pt x="757" y="862"/>
                                  </a:lnTo>
                                  <a:lnTo>
                                    <a:pt x="818" y="880"/>
                                  </a:lnTo>
                                  <a:lnTo>
                                    <a:pt x="885" y="886"/>
                                  </a:lnTo>
                                  <a:lnTo>
                                    <a:pt x="955" y="880"/>
                                  </a:lnTo>
                                  <a:lnTo>
                                    <a:pt x="1020" y="862"/>
                                  </a:lnTo>
                                  <a:lnTo>
                                    <a:pt x="1078" y="831"/>
                                  </a:lnTo>
                                  <a:lnTo>
                                    <a:pt x="1131" y="787"/>
                                  </a:lnTo>
                                  <a:lnTo>
                                    <a:pt x="1169" y="736"/>
                                  </a:lnTo>
                                  <a:lnTo>
                                    <a:pt x="1195" y="678"/>
                                  </a:lnTo>
                                  <a:lnTo>
                                    <a:pt x="1210" y="607"/>
                                  </a:lnTo>
                                  <a:lnTo>
                                    <a:pt x="1214" y="521"/>
                                  </a:lnTo>
                                  <a:lnTo>
                                    <a:pt x="1214" y="394"/>
                                  </a:lnTo>
                                  <a:close/>
                                </a:path>
                              </a:pathLst>
                            </a:custGeom>
                            <a:solidFill>
                              <a:srgbClr val="000000"/>
                            </a:solidFill>
                            <a:ln>
                              <a:noFill/>
                            </a:ln>
                          </wps:spPr>
                          <wps:bodyPr anchorCtr="0" anchor="ctr" bIns="91425" lIns="91425" spcFirstLastPara="1" rIns="91425" wrap="square" tIns="91425">
                            <a:noAutofit/>
                          </wps:bodyPr>
                        </wps:wsp>
                        <wps:wsp>
                          <wps:cNvCnPr/>
                          <wps:spPr>
                            <a:xfrm>
                              <a:off x="1286" y="0"/>
                              <a:ext cx="0" cy="896"/>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821055" cy="568960"/>
                <wp:effectExtent b="0" l="0" r="0" t="0"/>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21055" cy="568960"/>
                        </a:xfrm>
                        <a:prstGeom prst="rect"/>
                        <a:ln/>
                      </pic:spPr>
                    </pic:pic>
                  </a:graphicData>
                </a:graphic>
              </wp:inline>
            </w:drawing>
          </mc:Fallback>
        </mc:AlternateConten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Arial Black" w:cs="Arial Black" w:eastAsia="Arial Black" w:hAnsi="Arial Black"/>
          <w:b w:val="0"/>
          <w:i w:val="0"/>
          <w:smallCaps w:val="0"/>
          <w:strike w:val="0"/>
          <w:color w:val="000000"/>
          <w:sz w:val="20"/>
          <w:szCs w:val="20"/>
          <w:u w:val="none"/>
          <w:shd w:fill="auto" w:val="clear"/>
          <w:vertAlign w:val="baseline"/>
        </w:rPr>
        <mc:AlternateContent>
          <mc:Choice Requires="wpg">
            <w:drawing>
              <wp:inline distB="0" distT="0" distL="0" distR="0">
                <wp:extent cx="1754505" cy="560070"/>
                <wp:effectExtent b="0" l="0" r="0" t="0"/>
                <wp:docPr id="1" name=""/>
                <a:graphic>
                  <a:graphicData uri="http://schemas.microsoft.com/office/word/2010/wordprocessingGroup">
                    <wpg:wgp>
                      <wpg:cNvGrpSpPr/>
                      <wpg:grpSpPr>
                        <a:xfrm>
                          <a:off x="4468725" y="3499950"/>
                          <a:ext cx="1754505" cy="560070"/>
                          <a:chOff x="4468725" y="3499950"/>
                          <a:chExt cx="1753900" cy="560100"/>
                        </a:xfrm>
                      </wpg:grpSpPr>
                      <wpg:grpSp>
                        <wpg:cNvGrpSpPr/>
                        <wpg:grpSpPr>
                          <a:xfrm>
                            <a:off x="4468748" y="3499965"/>
                            <a:ext cx="1753870" cy="560070"/>
                            <a:chOff x="0" y="0"/>
                            <a:chExt cx="2762" cy="882"/>
                          </a:xfrm>
                        </wpg:grpSpPr>
                        <wps:wsp>
                          <wps:cNvSpPr/>
                          <wps:cNvPr id="3" name="Shape 3"/>
                          <wps:spPr>
                            <a:xfrm>
                              <a:off x="0" y="0"/>
                              <a:ext cx="2750" cy="8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8">
                              <a:alphaModFix/>
                            </a:blip>
                            <a:srcRect b="0" l="0" r="0" t="0"/>
                            <a:stretch/>
                          </pic:blipFill>
                          <pic:spPr>
                            <a:xfrm>
                              <a:off x="14" y="0"/>
                              <a:ext cx="698" cy="414"/>
                            </a:xfrm>
                            <a:prstGeom prst="rect">
                              <a:avLst/>
                            </a:prstGeom>
                            <a:noFill/>
                            <a:ln>
                              <a:noFill/>
                            </a:ln>
                          </pic:spPr>
                        </pic:pic>
                        <pic:pic>
                          <pic:nvPicPr>
                            <pic:cNvPr id="5" name="Shape 5"/>
                            <pic:cNvPicPr preferRelativeResize="0"/>
                          </pic:nvPicPr>
                          <pic:blipFill rotWithShape="1">
                            <a:blip r:embed="rId9">
                              <a:alphaModFix/>
                            </a:blip>
                            <a:srcRect b="0" l="0" r="0" t="0"/>
                            <a:stretch/>
                          </pic:blipFill>
                          <pic:spPr>
                            <a:xfrm>
                              <a:off x="760" y="119"/>
                              <a:ext cx="237" cy="295"/>
                            </a:xfrm>
                            <a:prstGeom prst="rect">
                              <a:avLst/>
                            </a:prstGeom>
                            <a:noFill/>
                            <a:ln>
                              <a:noFill/>
                            </a:ln>
                          </pic:spPr>
                        </pic:pic>
                        <wps:wsp>
                          <wps:cNvSpPr/>
                          <wps:cNvPr id="6" name="Shape 6"/>
                          <wps:spPr>
                            <a:xfrm>
                              <a:off x="1054" y="0"/>
                              <a:ext cx="370" cy="415"/>
                            </a:xfrm>
                            <a:custGeom>
                              <a:rect b="b" l="l" r="r" t="t"/>
                              <a:pathLst>
                                <a:path extrusionOk="0" h="415" w="370">
                                  <a:moveTo>
                                    <a:pt x="239" y="2"/>
                                  </a:moveTo>
                                  <a:lnTo>
                                    <a:pt x="180" y="2"/>
                                  </a:lnTo>
                                  <a:lnTo>
                                    <a:pt x="180" y="149"/>
                                  </a:lnTo>
                                  <a:lnTo>
                                    <a:pt x="180" y="265"/>
                                  </a:lnTo>
                                  <a:lnTo>
                                    <a:pt x="178" y="302"/>
                                  </a:lnTo>
                                  <a:lnTo>
                                    <a:pt x="170" y="333"/>
                                  </a:lnTo>
                                  <a:lnTo>
                                    <a:pt x="151" y="354"/>
                                  </a:lnTo>
                                  <a:lnTo>
                                    <a:pt x="120" y="362"/>
                                  </a:lnTo>
                                  <a:lnTo>
                                    <a:pt x="88" y="354"/>
                                  </a:lnTo>
                                  <a:lnTo>
                                    <a:pt x="69" y="333"/>
                                  </a:lnTo>
                                  <a:lnTo>
                                    <a:pt x="61" y="302"/>
                                  </a:lnTo>
                                  <a:lnTo>
                                    <a:pt x="59" y="265"/>
                                  </a:lnTo>
                                  <a:lnTo>
                                    <a:pt x="61" y="228"/>
                                  </a:lnTo>
                                  <a:lnTo>
                                    <a:pt x="69" y="197"/>
                                  </a:lnTo>
                                  <a:lnTo>
                                    <a:pt x="88" y="176"/>
                                  </a:lnTo>
                                  <a:lnTo>
                                    <a:pt x="120" y="168"/>
                                  </a:lnTo>
                                  <a:lnTo>
                                    <a:pt x="151" y="176"/>
                                  </a:lnTo>
                                  <a:lnTo>
                                    <a:pt x="170" y="197"/>
                                  </a:lnTo>
                                  <a:lnTo>
                                    <a:pt x="178" y="228"/>
                                  </a:lnTo>
                                  <a:lnTo>
                                    <a:pt x="180" y="265"/>
                                  </a:lnTo>
                                  <a:lnTo>
                                    <a:pt x="180" y="149"/>
                                  </a:lnTo>
                                  <a:lnTo>
                                    <a:pt x="163" y="133"/>
                                  </a:lnTo>
                                  <a:lnTo>
                                    <a:pt x="145" y="123"/>
                                  </a:lnTo>
                                  <a:lnTo>
                                    <a:pt x="126" y="118"/>
                                  </a:lnTo>
                                  <a:lnTo>
                                    <a:pt x="103" y="116"/>
                                  </a:lnTo>
                                  <a:lnTo>
                                    <a:pt x="82" y="118"/>
                                  </a:lnTo>
                                  <a:lnTo>
                                    <a:pt x="63" y="123"/>
                                  </a:lnTo>
                                  <a:lnTo>
                                    <a:pt x="47" y="131"/>
                                  </a:lnTo>
                                  <a:lnTo>
                                    <a:pt x="33" y="142"/>
                                  </a:lnTo>
                                  <a:lnTo>
                                    <a:pt x="15" y="167"/>
                                  </a:lnTo>
                                  <a:lnTo>
                                    <a:pt x="5" y="198"/>
                                  </a:lnTo>
                                  <a:lnTo>
                                    <a:pt x="1" y="231"/>
                                  </a:lnTo>
                                  <a:lnTo>
                                    <a:pt x="0" y="265"/>
                                  </a:lnTo>
                                  <a:lnTo>
                                    <a:pt x="1" y="299"/>
                                  </a:lnTo>
                                  <a:lnTo>
                                    <a:pt x="5" y="332"/>
                                  </a:lnTo>
                                  <a:lnTo>
                                    <a:pt x="15" y="363"/>
                                  </a:lnTo>
                                  <a:lnTo>
                                    <a:pt x="33" y="389"/>
                                  </a:lnTo>
                                  <a:lnTo>
                                    <a:pt x="47" y="399"/>
                                  </a:lnTo>
                                  <a:lnTo>
                                    <a:pt x="63" y="407"/>
                                  </a:lnTo>
                                  <a:lnTo>
                                    <a:pt x="83" y="413"/>
                                  </a:lnTo>
                                  <a:lnTo>
                                    <a:pt x="104" y="414"/>
                                  </a:lnTo>
                                  <a:lnTo>
                                    <a:pt x="126" y="413"/>
                                  </a:lnTo>
                                  <a:lnTo>
                                    <a:pt x="146" y="407"/>
                                  </a:lnTo>
                                  <a:lnTo>
                                    <a:pt x="164" y="396"/>
                                  </a:lnTo>
                                  <a:lnTo>
                                    <a:pt x="181" y="380"/>
                                  </a:lnTo>
                                  <a:lnTo>
                                    <a:pt x="181" y="411"/>
                                  </a:lnTo>
                                  <a:lnTo>
                                    <a:pt x="239" y="411"/>
                                  </a:lnTo>
                                  <a:lnTo>
                                    <a:pt x="239" y="380"/>
                                  </a:lnTo>
                                  <a:lnTo>
                                    <a:pt x="239" y="362"/>
                                  </a:lnTo>
                                  <a:lnTo>
                                    <a:pt x="239" y="168"/>
                                  </a:lnTo>
                                  <a:lnTo>
                                    <a:pt x="239" y="149"/>
                                  </a:lnTo>
                                  <a:lnTo>
                                    <a:pt x="239" y="2"/>
                                  </a:lnTo>
                                  <a:close/>
                                  <a:moveTo>
                                    <a:pt x="368" y="120"/>
                                  </a:moveTo>
                                  <a:lnTo>
                                    <a:pt x="309" y="120"/>
                                  </a:lnTo>
                                  <a:lnTo>
                                    <a:pt x="309" y="411"/>
                                  </a:lnTo>
                                  <a:lnTo>
                                    <a:pt x="368" y="411"/>
                                  </a:lnTo>
                                  <a:lnTo>
                                    <a:pt x="368" y="120"/>
                                  </a:lnTo>
                                  <a:close/>
                                  <a:moveTo>
                                    <a:pt x="370" y="0"/>
                                  </a:moveTo>
                                  <a:lnTo>
                                    <a:pt x="308" y="0"/>
                                  </a:lnTo>
                                  <a:lnTo>
                                    <a:pt x="308" y="62"/>
                                  </a:lnTo>
                                  <a:lnTo>
                                    <a:pt x="370" y="62"/>
                                  </a:lnTo>
                                  <a:lnTo>
                                    <a:pt x="370" y="0"/>
                                  </a:lnTo>
                                  <a:close/>
                                </a:path>
                              </a:pathLst>
                            </a:custGeom>
                            <a:solidFill>
                              <a:srgbClr val="000000"/>
                            </a:solidFill>
                            <a:ln>
                              <a:noFill/>
                            </a:ln>
                          </wps:spPr>
                          <wps:bodyPr anchorCtr="0" anchor="ctr" bIns="91425" lIns="91425" spcFirstLastPara="1" rIns="91425" wrap="square" tIns="91425">
                            <a:noAutofit/>
                          </wps:bodyPr>
                        </wps:wsp>
                        <pic:pic>
                          <pic:nvPicPr>
                            <pic:cNvPr id="7" name="Shape 7"/>
                            <pic:cNvPicPr preferRelativeResize="0"/>
                          </pic:nvPicPr>
                          <pic:blipFill rotWithShape="1">
                            <a:blip r:embed="rId10">
                              <a:alphaModFix/>
                            </a:blip>
                            <a:srcRect b="0" l="0" r="0" t="0"/>
                            <a:stretch/>
                          </pic:blipFill>
                          <pic:spPr>
                            <a:xfrm>
                              <a:off x="1478" y="116"/>
                              <a:ext cx="516" cy="299"/>
                            </a:xfrm>
                            <a:prstGeom prst="rect">
                              <a:avLst/>
                            </a:prstGeom>
                            <a:noFill/>
                            <a:ln>
                              <a:noFill/>
                            </a:ln>
                          </pic:spPr>
                        </pic:pic>
                        <wps:wsp>
                          <wps:cNvSpPr/>
                          <wps:cNvPr id="8" name="Shape 8"/>
                          <wps:spPr>
                            <a:xfrm>
                              <a:off x="0" y="465"/>
                              <a:ext cx="297" cy="417"/>
                            </a:xfrm>
                            <a:custGeom>
                              <a:rect b="b" l="l" r="r" t="t"/>
                              <a:pathLst>
                                <a:path extrusionOk="0" h="417" w="297">
                                  <a:moveTo>
                                    <a:pt x="147" y="0"/>
                                  </a:moveTo>
                                  <a:lnTo>
                                    <a:pt x="88" y="11"/>
                                  </a:lnTo>
                                  <a:lnTo>
                                    <a:pt x="16" y="75"/>
                                  </a:lnTo>
                                  <a:lnTo>
                                    <a:pt x="1" y="154"/>
                                  </a:lnTo>
                                  <a:lnTo>
                                    <a:pt x="0" y="208"/>
                                  </a:lnTo>
                                  <a:lnTo>
                                    <a:pt x="1" y="261"/>
                                  </a:lnTo>
                                  <a:lnTo>
                                    <a:pt x="16" y="340"/>
                                  </a:lnTo>
                                  <a:lnTo>
                                    <a:pt x="62" y="391"/>
                                  </a:lnTo>
                                  <a:lnTo>
                                    <a:pt x="147" y="416"/>
                                  </a:lnTo>
                                  <a:lnTo>
                                    <a:pt x="179" y="413"/>
                                  </a:lnTo>
                                  <a:lnTo>
                                    <a:pt x="235" y="390"/>
                                  </a:lnTo>
                                  <a:lnTo>
                                    <a:pt x="277" y="346"/>
                                  </a:lnTo>
                                  <a:lnTo>
                                    <a:pt x="297" y="254"/>
                                  </a:lnTo>
                                  <a:lnTo>
                                    <a:pt x="297" y="191"/>
                                  </a:lnTo>
                                  <a:lnTo>
                                    <a:pt x="147" y="191"/>
                                  </a:lnTo>
                                  <a:lnTo>
                                    <a:pt x="147" y="244"/>
                                  </a:lnTo>
                                  <a:lnTo>
                                    <a:pt x="235" y="244"/>
                                  </a:lnTo>
                                  <a:lnTo>
                                    <a:pt x="235" y="267"/>
                                  </a:lnTo>
                                  <a:lnTo>
                                    <a:pt x="214" y="331"/>
                                  </a:lnTo>
                                  <a:lnTo>
                                    <a:pt x="147" y="360"/>
                                  </a:lnTo>
                                  <a:lnTo>
                                    <a:pt x="130" y="358"/>
                                  </a:lnTo>
                                  <a:lnTo>
                                    <a:pt x="74" y="318"/>
                                  </a:lnTo>
                                  <a:lnTo>
                                    <a:pt x="62" y="208"/>
                                  </a:lnTo>
                                  <a:lnTo>
                                    <a:pt x="63" y="156"/>
                                  </a:lnTo>
                                  <a:lnTo>
                                    <a:pt x="87" y="81"/>
                                  </a:lnTo>
                                  <a:lnTo>
                                    <a:pt x="147" y="55"/>
                                  </a:lnTo>
                                  <a:lnTo>
                                    <a:pt x="179" y="60"/>
                                  </a:lnTo>
                                  <a:lnTo>
                                    <a:pt x="204" y="74"/>
                                  </a:lnTo>
                                  <a:lnTo>
                                    <a:pt x="222" y="96"/>
                                  </a:lnTo>
                                  <a:lnTo>
                                    <a:pt x="233" y="127"/>
                                  </a:lnTo>
                                  <a:lnTo>
                                    <a:pt x="296" y="127"/>
                                  </a:lnTo>
                                  <a:lnTo>
                                    <a:pt x="280" y="77"/>
                                  </a:lnTo>
                                  <a:lnTo>
                                    <a:pt x="250" y="37"/>
                                  </a:lnTo>
                                  <a:lnTo>
                                    <a:pt x="205" y="10"/>
                                  </a:lnTo>
                                  <a:lnTo>
                                    <a:pt x="147" y="0"/>
                                  </a:lnTo>
                                  <a:close/>
                                </a:path>
                              </a:pathLst>
                            </a:custGeom>
                            <a:solidFill>
                              <a:srgbClr val="000000"/>
                            </a:solidFill>
                            <a:ln>
                              <a:noFill/>
                            </a:ln>
                          </wps:spPr>
                          <wps:bodyPr anchorCtr="0" anchor="ctr" bIns="91425" lIns="91425" spcFirstLastPara="1" rIns="91425" wrap="square" tIns="91425">
                            <a:noAutofit/>
                          </wps:bodyPr>
                        </wps:wsp>
                        <pic:pic>
                          <pic:nvPicPr>
                            <pic:cNvPr id="9" name="Shape 9"/>
                            <pic:cNvPicPr preferRelativeResize="0"/>
                          </pic:nvPicPr>
                          <pic:blipFill rotWithShape="1">
                            <a:blip r:embed="rId11">
                              <a:alphaModFix/>
                            </a:blip>
                            <a:srcRect b="0" l="0" r="0" t="0"/>
                            <a:stretch/>
                          </pic:blipFill>
                          <pic:spPr>
                            <a:xfrm>
                              <a:off x="343" y="583"/>
                              <a:ext cx="248" cy="299"/>
                            </a:xfrm>
                            <a:prstGeom prst="rect">
                              <a:avLst/>
                            </a:prstGeom>
                            <a:noFill/>
                            <a:ln>
                              <a:noFill/>
                            </a:ln>
                          </pic:spPr>
                        </pic:pic>
                        <pic:pic>
                          <pic:nvPicPr>
                            <pic:cNvPr id="10" name="Shape 10"/>
                            <pic:cNvPicPr preferRelativeResize="0"/>
                          </pic:nvPicPr>
                          <pic:blipFill rotWithShape="1">
                            <a:blip r:embed="rId12">
                              <a:alphaModFix/>
                            </a:blip>
                            <a:srcRect b="0" l="0" r="0" t="0"/>
                            <a:stretch/>
                          </pic:blipFill>
                          <pic:spPr>
                            <a:xfrm>
                              <a:off x="645" y="583"/>
                              <a:ext cx="445" cy="299"/>
                            </a:xfrm>
                            <a:prstGeom prst="rect">
                              <a:avLst/>
                            </a:prstGeom>
                            <a:noFill/>
                            <a:ln>
                              <a:noFill/>
                            </a:ln>
                          </pic:spPr>
                        </pic:pic>
                        <pic:pic>
                          <pic:nvPicPr>
                            <pic:cNvPr id="11" name="Shape 11"/>
                            <pic:cNvPicPr preferRelativeResize="0"/>
                          </pic:nvPicPr>
                          <pic:blipFill rotWithShape="1">
                            <a:blip r:embed="rId13">
                              <a:alphaModFix/>
                            </a:blip>
                            <a:srcRect b="0" l="0" r="0" t="0"/>
                            <a:stretch/>
                          </pic:blipFill>
                          <pic:spPr>
                            <a:xfrm>
                              <a:off x="1145" y="583"/>
                              <a:ext cx="237" cy="295"/>
                            </a:xfrm>
                            <a:prstGeom prst="rect">
                              <a:avLst/>
                            </a:prstGeom>
                            <a:noFill/>
                            <a:ln>
                              <a:noFill/>
                            </a:ln>
                          </pic:spPr>
                        </pic:pic>
                        <pic:pic>
                          <pic:nvPicPr>
                            <pic:cNvPr id="12" name="Shape 12"/>
                            <pic:cNvPicPr preferRelativeResize="0"/>
                          </pic:nvPicPr>
                          <pic:blipFill rotWithShape="1">
                            <a:blip r:embed="rId14">
                              <a:alphaModFix/>
                            </a:blip>
                            <a:srcRect b="0" l="0" r="0" t="0"/>
                            <a:stretch/>
                          </pic:blipFill>
                          <pic:spPr>
                            <a:xfrm>
                              <a:off x="1434" y="583"/>
                              <a:ext cx="226" cy="299"/>
                            </a:xfrm>
                            <a:prstGeom prst="rect">
                              <a:avLst/>
                            </a:prstGeom>
                            <a:noFill/>
                            <a:ln>
                              <a:noFill/>
                            </a:ln>
                          </pic:spPr>
                        </pic:pic>
                        <wps:wsp>
                          <wps:cNvSpPr/>
                          <wps:cNvPr id="13" name="Shape 13"/>
                          <wps:spPr>
                            <a:xfrm>
                              <a:off x="1704" y="467"/>
                              <a:ext cx="63" cy="411"/>
                            </a:xfrm>
                            <a:custGeom>
                              <a:rect b="b" l="l" r="r" t="t"/>
                              <a:pathLst>
                                <a:path extrusionOk="0" h="411" w="63">
                                  <a:moveTo>
                                    <a:pt x="60" y="120"/>
                                  </a:moveTo>
                                  <a:lnTo>
                                    <a:pt x="2" y="120"/>
                                  </a:lnTo>
                                  <a:lnTo>
                                    <a:pt x="2" y="411"/>
                                  </a:lnTo>
                                  <a:lnTo>
                                    <a:pt x="60" y="411"/>
                                  </a:lnTo>
                                  <a:lnTo>
                                    <a:pt x="60" y="120"/>
                                  </a:lnTo>
                                  <a:close/>
                                  <a:moveTo>
                                    <a:pt x="62" y="0"/>
                                  </a:moveTo>
                                  <a:lnTo>
                                    <a:pt x="0" y="0"/>
                                  </a:lnTo>
                                  <a:lnTo>
                                    <a:pt x="0" y="62"/>
                                  </a:lnTo>
                                  <a:lnTo>
                                    <a:pt x="62" y="62"/>
                                  </a:lnTo>
                                  <a:lnTo>
                                    <a:pt x="62" y="0"/>
                                  </a:lnTo>
                                  <a:close/>
                                </a:path>
                              </a:pathLst>
                            </a:custGeom>
                            <a:solidFill>
                              <a:srgbClr val="000000"/>
                            </a:solidFill>
                            <a:ln>
                              <a:noFill/>
                            </a:ln>
                          </wps:spPr>
                          <wps:bodyPr anchorCtr="0" anchor="ctr" bIns="91425" lIns="91425" spcFirstLastPara="1" rIns="91425" wrap="square" tIns="91425">
                            <a:noAutofit/>
                          </wps:bodyPr>
                        </wps:wsp>
                        <pic:pic>
                          <pic:nvPicPr>
                            <pic:cNvPr id="14" name="Shape 14"/>
                            <pic:cNvPicPr preferRelativeResize="0"/>
                          </pic:nvPicPr>
                          <pic:blipFill rotWithShape="1">
                            <a:blip r:embed="rId15">
                              <a:alphaModFix/>
                            </a:blip>
                            <a:srcRect b="0" l="0" r="0" t="0"/>
                            <a:stretch/>
                          </pic:blipFill>
                          <pic:spPr>
                            <a:xfrm>
                              <a:off x="1813" y="583"/>
                              <a:ext cx="237" cy="299"/>
                            </a:xfrm>
                            <a:prstGeom prst="rect">
                              <a:avLst/>
                            </a:prstGeom>
                            <a:noFill/>
                            <a:ln>
                              <a:noFill/>
                            </a:ln>
                          </pic:spPr>
                        </pic:pic>
                        <wps:wsp>
                          <wps:cNvSpPr/>
                          <wps:cNvPr id="15" name="Shape 15"/>
                          <wps:spPr>
                            <a:xfrm>
                              <a:off x="2115" y="468"/>
                              <a:ext cx="117" cy="410"/>
                            </a:xfrm>
                            <a:custGeom>
                              <a:rect b="b" l="l" r="r" t="t"/>
                              <a:pathLst>
                                <a:path extrusionOk="0" h="410" w="117">
                                  <a:moveTo>
                                    <a:pt x="58" y="0"/>
                                  </a:moveTo>
                                  <a:lnTo>
                                    <a:pt x="0" y="0"/>
                                  </a:lnTo>
                                  <a:lnTo>
                                    <a:pt x="0" y="329"/>
                                  </a:lnTo>
                                  <a:lnTo>
                                    <a:pt x="4" y="359"/>
                                  </a:lnTo>
                                  <a:lnTo>
                                    <a:pt x="19" y="385"/>
                                  </a:lnTo>
                                  <a:lnTo>
                                    <a:pt x="43" y="403"/>
                                  </a:lnTo>
                                  <a:lnTo>
                                    <a:pt x="79" y="409"/>
                                  </a:lnTo>
                                  <a:lnTo>
                                    <a:pt x="116" y="409"/>
                                  </a:lnTo>
                                  <a:lnTo>
                                    <a:pt x="116" y="359"/>
                                  </a:lnTo>
                                  <a:lnTo>
                                    <a:pt x="90" y="359"/>
                                  </a:lnTo>
                                  <a:lnTo>
                                    <a:pt x="75" y="357"/>
                                  </a:lnTo>
                                  <a:lnTo>
                                    <a:pt x="65" y="351"/>
                                  </a:lnTo>
                                  <a:lnTo>
                                    <a:pt x="60" y="340"/>
                                  </a:lnTo>
                                  <a:lnTo>
                                    <a:pt x="58" y="325"/>
                                  </a:lnTo>
                                  <a:lnTo>
                                    <a:pt x="58" y="0"/>
                                  </a:lnTo>
                                  <a:close/>
                                </a:path>
                              </a:pathLst>
                            </a:custGeom>
                            <a:solidFill>
                              <a:srgbClr val="000000"/>
                            </a:solidFill>
                            <a:ln>
                              <a:noFill/>
                            </a:ln>
                          </wps:spPr>
                          <wps:bodyPr anchorCtr="0" anchor="ctr" bIns="91425" lIns="91425" spcFirstLastPara="1" rIns="91425" wrap="square" tIns="91425">
                            <a:noAutofit/>
                          </wps:bodyPr>
                        </wps:wsp>
                        <pic:pic>
                          <pic:nvPicPr>
                            <pic:cNvPr id="16" name="Shape 16"/>
                            <pic:cNvPicPr preferRelativeResize="0"/>
                          </pic:nvPicPr>
                          <pic:blipFill rotWithShape="1">
                            <a:blip r:embed="rId16">
                              <a:alphaModFix/>
                            </a:blip>
                            <a:srcRect b="0" l="0" r="0" t="0"/>
                            <a:stretch/>
                          </pic:blipFill>
                          <pic:spPr>
                            <a:xfrm>
                              <a:off x="2244" y="583"/>
                              <a:ext cx="518" cy="299"/>
                            </a:xfrm>
                            <a:prstGeom prst="rect">
                              <a:avLst/>
                            </a:prstGeom>
                            <a:noFill/>
                            <a:ln>
                              <a:noFill/>
                            </a:ln>
                          </pic:spPr>
                        </pic:pic>
                      </wpg:grpSp>
                    </wpg:wgp>
                  </a:graphicData>
                </a:graphic>
              </wp:inline>
            </w:drawing>
          </mc:Choice>
          <mc:Fallback>
            <w:drawing>
              <wp:inline distB="0" distT="0" distL="0" distR="0">
                <wp:extent cx="1754505" cy="560070"/>
                <wp:effectExtent b="0" l="0" r="0" t="0"/>
                <wp:docPr id="1" name="image3.png"/>
                <a:graphic>
                  <a:graphicData uri="http://schemas.openxmlformats.org/drawingml/2006/picture">
                    <pic:pic>
                      <pic:nvPicPr>
                        <pic:cNvPr id="0" name="image3.png"/>
                        <pic:cNvPicPr preferRelativeResize="0"/>
                      </pic:nvPicPr>
                      <pic:blipFill>
                        <a:blip r:embed="rId17"/>
                        <a:srcRect/>
                        <a:stretch>
                          <a:fillRect/>
                        </a:stretch>
                      </pic:blipFill>
                      <pic:spPr>
                        <a:xfrm>
                          <a:off x="0" y="0"/>
                          <a:ext cx="1754505" cy="5600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1" w:line="480" w:lineRule="auto"/>
        <w:ind w:left="0" w:right="0" w:firstLine="720"/>
        <w:jc w:val="left"/>
        <w:rPr>
          <w:rFonts w:ascii="Arial Black" w:cs="Arial Black" w:eastAsia="Arial Black" w:hAnsi="Arial Black"/>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11" w:lineRule="auto"/>
        <w:ind w:left="117" w:right="0" w:firstLine="720"/>
        <w:jc w:val="left"/>
        <w:rPr>
          <w:rFonts w:ascii="Arial Black" w:cs="Arial Black" w:eastAsia="Arial Black" w:hAnsi="Arial Black"/>
          <w:b w:val="0"/>
          <w:i w:val="0"/>
          <w:smallCaps w:val="0"/>
          <w:strike w:val="0"/>
          <w:color w:val="000000"/>
          <w:sz w:val="20"/>
          <w:szCs w:val="20"/>
          <w:u w:val="none"/>
          <w:shd w:fill="auto" w:val="clear"/>
          <w:vertAlign w:val="baseline"/>
        </w:rPr>
      </w:pPr>
      <w:r w:rsidDel="00000000" w:rsidR="00000000" w:rsidRPr="00000000">
        <w:rPr>
          <w:rFonts w:ascii="Arial Black" w:cs="Arial Black" w:eastAsia="Arial Black" w:hAnsi="Arial Black"/>
          <w:b w:val="0"/>
          <w:i w:val="0"/>
          <w:smallCaps w:val="0"/>
          <w:strike w:val="0"/>
          <w:color w:val="000000"/>
          <w:sz w:val="20"/>
          <w:szCs w:val="20"/>
          <w:u w:val="none"/>
          <w:shd w:fill="auto" w:val="clear"/>
          <w:vertAlign w:val="baseline"/>
        </w:rPr>
        <mc:AlternateContent>
          <mc:Choice Requires="wpg">
            <w:drawing>
              <wp:inline distB="0" distT="0" distL="0" distR="0">
                <wp:extent cx="2620645" cy="134620"/>
                <wp:effectExtent b="0" l="0" r="0" t="0"/>
                <wp:docPr id="4" name=""/>
                <a:graphic>
                  <a:graphicData uri="http://schemas.microsoft.com/office/word/2010/wordprocessingGroup">
                    <wpg:wgp>
                      <wpg:cNvGrpSpPr/>
                      <wpg:grpSpPr>
                        <a:xfrm>
                          <a:off x="4035675" y="3712675"/>
                          <a:ext cx="2620645" cy="134620"/>
                          <a:chOff x="4035675" y="3712675"/>
                          <a:chExt cx="2620650" cy="134650"/>
                        </a:xfrm>
                      </wpg:grpSpPr>
                      <wpg:grpSp>
                        <wpg:cNvGrpSpPr/>
                        <wpg:grpSpPr>
                          <a:xfrm>
                            <a:off x="4035678" y="3712690"/>
                            <a:ext cx="2620645" cy="134620"/>
                            <a:chOff x="0" y="0"/>
                            <a:chExt cx="4127" cy="212"/>
                          </a:xfrm>
                        </wpg:grpSpPr>
                        <wps:wsp>
                          <wps:cNvSpPr/>
                          <wps:cNvPr id="3" name="Shape 3"/>
                          <wps:spPr>
                            <a:xfrm>
                              <a:off x="0" y="0"/>
                              <a:ext cx="4125" cy="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23" name="Shape 23"/>
                            <pic:cNvPicPr preferRelativeResize="0"/>
                          </pic:nvPicPr>
                          <pic:blipFill rotWithShape="1">
                            <a:blip r:embed="rId18">
                              <a:alphaModFix/>
                            </a:blip>
                            <a:srcRect b="0" l="0" r="0" t="0"/>
                            <a:stretch/>
                          </pic:blipFill>
                          <pic:spPr>
                            <a:xfrm>
                              <a:off x="0" y="0"/>
                              <a:ext cx="3128" cy="212"/>
                            </a:xfrm>
                            <a:prstGeom prst="rect">
                              <a:avLst/>
                            </a:prstGeom>
                            <a:noFill/>
                            <a:ln>
                              <a:noFill/>
                            </a:ln>
                          </pic:spPr>
                        </pic:pic>
                        <pic:pic>
                          <pic:nvPicPr>
                            <pic:cNvPr id="24" name="Shape 24"/>
                            <pic:cNvPicPr preferRelativeResize="0"/>
                          </pic:nvPicPr>
                          <pic:blipFill rotWithShape="1">
                            <a:blip r:embed="rId19">
                              <a:alphaModFix/>
                            </a:blip>
                            <a:srcRect b="0" l="0" r="0" t="0"/>
                            <a:stretch/>
                          </pic:blipFill>
                          <pic:spPr>
                            <a:xfrm>
                              <a:off x="3189" y="0"/>
                              <a:ext cx="938" cy="167"/>
                            </a:xfrm>
                            <a:prstGeom prst="rect">
                              <a:avLst/>
                            </a:prstGeom>
                            <a:noFill/>
                            <a:ln>
                              <a:noFill/>
                            </a:ln>
                          </pic:spPr>
                        </pic:pic>
                      </wpg:grpSp>
                    </wpg:wgp>
                  </a:graphicData>
                </a:graphic>
              </wp:inline>
            </w:drawing>
          </mc:Choice>
          <mc:Fallback>
            <w:drawing>
              <wp:inline distB="0" distT="0" distL="0" distR="0">
                <wp:extent cx="2620645" cy="134620"/>
                <wp:effectExtent b="0" l="0" r="0" t="0"/>
                <wp:docPr id="4" name="image6.png"/>
                <a:graphic>
                  <a:graphicData uri="http://schemas.openxmlformats.org/drawingml/2006/picture">
                    <pic:pic>
                      <pic:nvPicPr>
                        <pic:cNvPr id="0" name="image6.png"/>
                        <pic:cNvPicPr preferRelativeResize="0"/>
                      </pic:nvPicPr>
                      <pic:blipFill>
                        <a:blip r:embed="rId20"/>
                        <a:srcRect/>
                        <a:stretch>
                          <a:fillRect/>
                        </a:stretch>
                      </pic:blipFill>
                      <pic:spPr>
                        <a:xfrm>
                          <a:off x="0" y="0"/>
                          <a:ext cx="2620645" cy="13462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5">
      <w:pPr>
        <w:spacing w:before="96" w:lineRule="auto"/>
        <w:rPr>
          <w:sz w:val="20"/>
          <w:szCs w:val="20"/>
        </w:rPr>
      </w:pPr>
      <w:r w:rsidDel="00000000" w:rsidR="00000000" w:rsidRPr="00000000">
        <w:rPr>
          <w:sz w:val="20"/>
          <w:szCs w:val="20"/>
          <w:rtl w:val="0"/>
        </w:rPr>
        <w:t xml:space="preserve"> Artículo de revisión.</w:t>
      </w:r>
    </w:p>
    <w:p w:rsidR="00000000" w:rsidDel="00000000" w:rsidP="00000000" w:rsidRDefault="00000000" w:rsidRPr="00000000" w14:paraId="00000006">
      <w:pPr>
        <w:spacing w:before="96" w:line="276" w:lineRule="auto"/>
        <w:rPr>
          <w:rFonts w:ascii="Trebuchet MS" w:cs="Trebuchet MS" w:eastAsia="Trebuchet MS" w:hAnsi="Trebuchet MS"/>
          <w:b w:val="1"/>
          <w:sz w:val="27"/>
          <w:szCs w:val="27"/>
        </w:rPr>
      </w:pPr>
      <w:r w:rsidDel="00000000" w:rsidR="00000000" w:rsidRPr="00000000">
        <w:rPr>
          <w:rFonts w:ascii="Trebuchet MS" w:cs="Trebuchet MS" w:eastAsia="Trebuchet MS" w:hAnsi="Trebuchet MS"/>
          <w:b w:val="1"/>
          <w:sz w:val="27"/>
          <w:szCs w:val="27"/>
          <w:rtl w:val="0"/>
        </w:rPr>
        <w:t xml:space="preserve"> Prácticas universitarias socialmente responsables: Una revisión Literaria</w:t>
      </w:r>
    </w:p>
    <w:p w:rsidR="00000000" w:rsidDel="00000000" w:rsidP="00000000" w:rsidRDefault="00000000" w:rsidRPr="00000000" w14:paraId="00000007">
      <w:pPr>
        <w:spacing w:before="96" w:line="276" w:lineRule="auto"/>
        <w:rPr>
          <w:sz w:val="18"/>
          <w:szCs w:val="18"/>
        </w:rPr>
      </w:pPr>
      <w:r w:rsidDel="00000000" w:rsidR="00000000" w:rsidRPr="00000000">
        <w:rPr>
          <w:color w:val="231f1f"/>
          <w:sz w:val="18"/>
          <w:szCs w:val="18"/>
          <w:rtl w:val="0"/>
        </w:rPr>
        <w:t xml:space="preserve">  Ruth Zárate Rueda*</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1621497</wp:posOffset>
            </wp:positionH>
            <wp:positionV relativeFrom="paragraph">
              <wp:posOffset>42545</wp:posOffset>
            </wp:positionV>
            <wp:extent cx="98628" cy="98640"/>
            <wp:effectExtent b="0" l="0" r="0" t="0"/>
            <wp:wrapNone/>
            <wp:docPr id="9"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98628" cy="98640"/>
                    </a:xfrm>
                    <a:prstGeom prst="rect"/>
                    <a:ln/>
                  </pic:spPr>
                </pic:pic>
              </a:graphicData>
            </a:graphic>
          </wp:anchor>
        </w:drawing>
      </w:r>
    </w:p>
    <w:p w:rsidR="00000000" w:rsidDel="00000000" w:rsidP="00000000" w:rsidRDefault="00000000" w:rsidRPr="00000000" w14:paraId="00000008">
      <w:pPr>
        <w:spacing w:before="7" w:line="276" w:lineRule="auto"/>
        <w:ind w:left="110" w:firstLine="720"/>
        <w:rPr>
          <w:sz w:val="15"/>
          <w:szCs w:val="15"/>
        </w:rPr>
      </w:pPr>
      <w:r w:rsidDel="00000000" w:rsidR="00000000" w:rsidRPr="00000000">
        <w:rPr>
          <w:color w:val="231f1f"/>
          <w:sz w:val="15"/>
          <w:szCs w:val="15"/>
          <w:rtl w:val="0"/>
        </w:rPr>
        <w:t xml:space="preserve">Profesor titular, Departamento de Trabajo Social, </w:t>
      </w:r>
      <w:r w:rsidDel="00000000" w:rsidR="00000000" w:rsidRPr="00000000">
        <w:rPr>
          <w:sz w:val="15"/>
          <w:szCs w:val="15"/>
          <w:rtl w:val="0"/>
        </w:rPr>
        <w:t xml:space="preserve">Universidad Industrial de Santander, Bucaramanga, Colombia. </w:t>
      </w:r>
    </w:p>
    <w:p w:rsidR="00000000" w:rsidDel="00000000" w:rsidP="00000000" w:rsidRDefault="00000000" w:rsidRPr="00000000" w14:paraId="00000009">
      <w:pPr>
        <w:spacing w:before="7" w:line="276" w:lineRule="auto"/>
        <w:ind w:left="110" w:firstLine="720"/>
        <w:rPr>
          <w:sz w:val="15"/>
          <w:szCs w:val="15"/>
        </w:rPr>
      </w:pPr>
      <w:hyperlink r:id="rId22">
        <w:r w:rsidDel="00000000" w:rsidR="00000000" w:rsidRPr="00000000">
          <w:rPr>
            <w:color w:val="0000ff"/>
            <w:sz w:val="15"/>
            <w:szCs w:val="15"/>
            <w:u w:val="single"/>
            <w:rtl w:val="0"/>
          </w:rPr>
          <w:t xml:space="preserve">mattagarzon99@outlook.es</w:t>
        </w:r>
      </w:hyperlink>
      <w:r w:rsidDel="00000000" w:rsidR="00000000" w:rsidRPr="00000000">
        <w:rPr>
          <w:color w:val="0000ff"/>
          <w:sz w:val="15"/>
          <w:szCs w:val="15"/>
          <w:rtl w:val="0"/>
        </w:rPr>
        <w:t xml:space="preserve"> </w:t>
      </w:r>
      <w:r w:rsidDel="00000000" w:rsidR="00000000" w:rsidRPr="00000000">
        <w:rPr>
          <w:rtl w:val="0"/>
        </w:rPr>
      </w:r>
    </w:p>
    <w:p w:rsidR="00000000" w:rsidDel="00000000" w:rsidP="00000000" w:rsidRDefault="00000000" w:rsidRPr="00000000" w14:paraId="0000000A">
      <w:pPr>
        <w:spacing w:before="204" w:line="276" w:lineRule="auto"/>
        <w:rPr>
          <w:sz w:val="18"/>
          <w:szCs w:val="18"/>
        </w:rPr>
      </w:pPr>
      <w:r w:rsidDel="00000000" w:rsidR="00000000" w:rsidRPr="00000000">
        <w:rPr>
          <w:color w:val="231f1f"/>
          <w:sz w:val="18"/>
          <w:szCs w:val="18"/>
          <w:rtl w:val="0"/>
        </w:rPr>
        <w:t xml:space="preserve">  </w:t>
      </w:r>
      <w:r w:rsidDel="00000000" w:rsidR="00000000" w:rsidRPr="00000000">
        <w:rPr>
          <w:sz w:val="18"/>
          <w:szCs w:val="18"/>
          <w:rtl w:val="0"/>
        </w:rPr>
        <w:t xml:space="preserve">Laura Carolina Matta Garzón</w:t>
      </w:r>
      <w:r w:rsidDel="00000000" w:rsidR="00000000" w:rsidRPr="00000000">
        <w:drawing>
          <wp:anchor allowOverlap="1" behindDoc="0" distB="0" distT="0" distL="0" distR="0" hidden="0" layoutInCell="1" locked="0" relativeHeight="0" simplePos="0">
            <wp:simplePos x="0" y="0"/>
            <wp:positionH relativeFrom="column">
              <wp:posOffset>2076108</wp:posOffset>
            </wp:positionH>
            <wp:positionV relativeFrom="paragraph">
              <wp:posOffset>96520</wp:posOffset>
            </wp:positionV>
            <wp:extent cx="98628" cy="98640"/>
            <wp:effectExtent b="0" l="0" r="0" t="0"/>
            <wp:wrapNone/>
            <wp:docPr id="1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98628" cy="98640"/>
                    </a:xfrm>
                    <a:prstGeom prst="rect"/>
                    <a:ln/>
                  </pic:spPr>
                </pic:pic>
              </a:graphicData>
            </a:graphic>
          </wp:anchor>
        </w:drawing>
      </w:r>
    </w:p>
    <w:p w:rsidR="00000000" w:rsidDel="00000000" w:rsidP="00000000" w:rsidRDefault="00000000" w:rsidRPr="00000000" w14:paraId="0000000B">
      <w:pPr>
        <w:spacing w:before="7" w:line="276" w:lineRule="auto"/>
        <w:ind w:left="110" w:firstLine="720"/>
        <w:rPr>
          <w:sz w:val="15"/>
          <w:szCs w:val="15"/>
        </w:rPr>
      </w:pPr>
      <w:r w:rsidDel="00000000" w:rsidR="00000000" w:rsidRPr="00000000">
        <w:rPr>
          <w:sz w:val="15"/>
          <w:szCs w:val="15"/>
          <w:rtl w:val="0"/>
        </w:rPr>
        <w:t xml:space="preserve">Ingeniero Industrial. (C), Escuela de Estudios Industriales y Empresariales. Universidad Industrial de Santander, Bucaramanga, Colombia. </w:t>
      </w:r>
    </w:p>
    <w:p w:rsidR="00000000" w:rsidDel="00000000" w:rsidP="00000000" w:rsidRDefault="00000000" w:rsidRPr="00000000" w14:paraId="0000000C">
      <w:pPr>
        <w:spacing w:before="7" w:line="276" w:lineRule="auto"/>
        <w:ind w:left="110" w:firstLine="720"/>
        <w:rPr>
          <w:sz w:val="15"/>
          <w:szCs w:val="15"/>
        </w:rPr>
      </w:pPr>
      <w:hyperlink r:id="rId23">
        <w:r w:rsidDel="00000000" w:rsidR="00000000" w:rsidRPr="00000000">
          <w:rPr>
            <w:color w:val="0000ff"/>
            <w:sz w:val="15"/>
            <w:szCs w:val="15"/>
            <w:u w:val="single"/>
            <w:rtl w:val="0"/>
          </w:rPr>
          <w:t xml:space="preserve">mattagarzon99@outlook.es</w:t>
        </w:r>
      </w:hyperlink>
      <w:r w:rsidDel="00000000" w:rsidR="00000000" w:rsidRPr="00000000">
        <w:rPr>
          <w:color w:val="0000ff"/>
          <w:sz w:val="15"/>
          <w:szCs w:val="15"/>
          <w:rtl w:val="0"/>
        </w:rPr>
        <w:t xml:space="preserve"> </w:t>
      </w:r>
      <w:r w:rsidDel="00000000" w:rsidR="00000000" w:rsidRPr="00000000">
        <w:rPr>
          <w:rtl w:val="0"/>
        </w:rPr>
      </w:r>
    </w:p>
    <w:p w:rsidR="00000000" w:rsidDel="00000000" w:rsidP="00000000" w:rsidRDefault="00000000" w:rsidRPr="00000000" w14:paraId="0000000D">
      <w:pPr>
        <w:spacing w:before="69" w:line="276" w:lineRule="auto"/>
        <w:ind w:left="110" w:firstLine="720"/>
        <w:rPr>
          <w:sz w:val="18"/>
          <w:szCs w:val="18"/>
        </w:rPr>
      </w:pPr>
      <w:r w:rsidDel="00000000" w:rsidR="00000000" w:rsidRPr="00000000">
        <w:rPr>
          <w:sz w:val="18"/>
          <w:szCs w:val="18"/>
          <w:rtl w:val="0"/>
        </w:rPr>
        <w:t xml:space="preserve">Jairo Alberto Flórez Duarte</w:t>
      </w:r>
      <w:r w:rsidDel="00000000" w:rsidR="00000000" w:rsidRPr="00000000">
        <w:drawing>
          <wp:anchor allowOverlap="1" behindDoc="0" distB="0" distT="0" distL="0" distR="0" hidden="0" layoutInCell="1" locked="0" relativeHeight="0" simplePos="0">
            <wp:simplePos x="0" y="0"/>
            <wp:positionH relativeFrom="column">
              <wp:posOffset>1996502</wp:posOffset>
            </wp:positionH>
            <wp:positionV relativeFrom="paragraph">
              <wp:posOffset>11430</wp:posOffset>
            </wp:positionV>
            <wp:extent cx="98628" cy="98640"/>
            <wp:effectExtent b="0" l="0" r="0" t="0"/>
            <wp:wrapNone/>
            <wp:docPr id="10" name="image2.png"/>
            <a:graphic>
              <a:graphicData uri="http://schemas.openxmlformats.org/drawingml/2006/picture">
                <pic:pic>
                  <pic:nvPicPr>
                    <pic:cNvPr id="0" name="image2.png"/>
                    <pic:cNvPicPr preferRelativeResize="0"/>
                  </pic:nvPicPr>
                  <pic:blipFill>
                    <a:blip r:embed="rId24"/>
                    <a:srcRect b="0" l="0" r="0" t="0"/>
                    <a:stretch>
                      <a:fillRect/>
                    </a:stretch>
                  </pic:blipFill>
                  <pic:spPr>
                    <a:xfrm>
                      <a:off x="0" y="0"/>
                      <a:ext cx="98628" cy="98640"/>
                    </a:xfrm>
                    <a:prstGeom prst="rect"/>
                    <a:ln/>
                  </pic:spPr>
                </pic:pic>
              </a:graphicData>
            </a:graphic>
          </wp:anchor>
        </w:drawing>
      </w:r>
    </w:p>
    <w:p w:rsidR="00000000" w:rsidDel="00000000" w:rsidP="00000000" w:rsidRDefault="00000000" w:rsidRPr="00000000" w14:paraId="0000000E">
      <w:pPr>
        <w:spacing w:before="7" w:line="276" w:lineRule="auto"/>
        <w:ind w:left="110" w:firstLine="720"/>
        <w:rPr>
          <w:sz w:val="15"/>
          <w:szCs w:val="15"/>
        </w:rPr>
      </w:pPr>
      <w:r w:rsidDel="00000000" w:rsidR="00000000" w:rsidRPr="00000000">
        <w:rPr>
          <w:sz w:val="15"/>
          <w:szCs w:val="15"/>
          <w:rtl w:val="0"/>
        </w:rPr>
        <w:t xml:space="preserve">Ingeniero Industrial. (C), Escuela de Estudios Industriales y Empresariales. Universidad Industrial de Santander, Bucaramanga, Colombia.</w:t>
      </w:r>
    </w:p>
    <w:p w:rsidR="00000000" w:rsidDel="00000000" w:rsidP="00000000" w:rsidRDefault="00000000" w:rsidRPr="00000000" w14:paraId="0000000F">
      <w:pPr>
        <w:spacing w:line="276" w:lineRule="auto"/>
        <w:ind w:left="110" w:firstLine="720"/>
        <w:rPr>
          <w:sz w:val="15"/>
          <w:szCs w:val="15"/>
        </w:rPr>
      </w:pPr>
      <w:hyperlink r:id="rId25">
        <w:r w:rsidDel="00000000" w:rsidR="00000000" w:rsidRPr="00000000">
          <w:rPr>
            <w:color w:val="0000ff"/>
            <w:sz w:val="15"/>
            <w:szCs w:val="15"/>
            <w:u w:val="single"/>
            <w:rtl w:val="0"/>
          </w:rPr>
          <w:t xml:space="preserve">jairo.16.jf@gmail.com</w:t>
        </w:r>
      </w:hyperlink>
      <w:r w:rsidDel="00000000" w:rsidR="00000000" w:rsidRPr="00000000">
        <w:rPr>
          <w:rtl w:val="0"/>
        </w:rPr>
      </w:r>
    </w:p>
    <w:p w:rsidR="00000000" w:rsidDel="00000000" w:rsidP="00000000" w:rsidRDefault="00000000" w:rsidRPr="00000000" w14:paraId="00000010">
      <w:pPr>
        <w:spacing w:before="79" w:line="276" w:lineRule="auto"/>
        <w:ind w:left="110" w:firstLine="720"/>
        <w:rPr>
          <w:rFonts w:ascii="Arial Black" w:cs="Arial Black" w:eastAsia="Arial Black" w:hAnsi="Arial Black"/>
          <w:sz w:val="19"/>
          <w:szCs w:val="19"/>
        </w:rPr>
      </w:pPr>
      <w:r w:rsidDel="00000000" w:rsidR="00000000" w:rsidRPr="00000000">
        <w:rPr>
          <w:rFonts w:ascii="Arial Black" w:cs="Arial Black" w:eastAsia="Arial Black" w:hAnsi="Arial Black"/>
          <w:sz w:val="19"/>
          <w:szCs w:val="19"/>
          <w:rtl w:val="0"/>
        </w:rPr>
        <w:t xml:space="preserve">Resumen</w:t>
      </w:r>
    </w:p>
    <w:p w:rsidR="00000000" w:rsidDel="00000000" w:rsidP="00000000" w:rsidRDefault="00000000" w:rsidRPr="00000000" w14:paraId="00000011">
      <w:pPr>
        <w:spacing w:line="240" w:lineRule="auto"/>
        <w:ind w:left="851" w:right="107" w:firstLine="720"/>
        <w:rPr>
          <w:sz w:val="18"/>
          <w:szCs w:val="18"/>
        </w:rPr>
      </w:pPr>
      <w:r w:rsidDel="00000000" w:rsidR="00000000" w:rsidRPr="00000000">
        <w:rPr>
          <w:sz w:val="18"/>
          <w:szCs w:val="18"/>
          <w:rtl w:val="0"/>
        </w:rPr>
        <w:t xml:space="preserve">El siguiente artículo surge como tendencia la creciente importancia de adoptar un enfoque de Responsabilidad Social Universitaria en las instituciones para garantizar un impacto positivo en la sociedad, asumiendo un papel activo y decisivo en la búsqueda de soluciones a desafíos globales y que contribuyan al avance de la sociedad hacia metas sostenibles y equitativas El objetivo de este artículo consiste en analizar las tendencias teórico-conceptuales de las prácticas de RSU entre 2018 y 2023 para contextualizar su implementación, características e impacto. La metodología se oriento desde una revisión sistemática basada en análisis bibliométricos para identificar patrones de literatura, estudios de impacto y evolución. Los hallazgos indican que las universidades deben adoptar prácticas socialmente responsables como parte integral de sus funciones, utilizando procesos sostenibles desde una óptica social, económica y ambiental.</w:t>
      </w:r>
    </w:p>
    <w:p w:rsidR="00000000" w:rsidDel="00000000" w:rsidP="00000000" w:rsidRDefault="00000000" w:rsidRPr="00000000" w14:paraId="00000012">
      <w:pPr>
        <w:spacing w:line="240" w:lineRule="auto"/>
        <w:ind w:left="110" w:right="107" w:firstLine="720"/>
        <w:rPr>
          <w:sz w:val="18"/>
          <w:szCs w:val="18"/>
        </w:rPr>
      </w:pPr>
      <w:r w:rsidDel="00000000" w:rsidR="00000000" w:rsidRPr="00000000">
        <w:rPr>
          <w:rtl w:val="0"/>
        </w:rPr>
      </w:r>
    </w:p>
    <w:p w:rsidR="00000000" w:rsidDel="00000000" w:rsidP="00000000" w:rsidRDefault="00000000" w:rsidRPr="00000000" w14:paraId="00000013">
      <w:pPr>
        <w:spacing w:line="240" w:lineRule="auto"/>
        <w:ind w:left="110" w:right="107" w:firstLine="720"/>
        <w:rPr>
          <w:rFonts w:ascii="Trebuchet MS" w:cs="Trebuchet MS" w:eastAsia="Trebuchet MS" w:hAnsi="Trebuchet MS"/>
          <w:b w:val="1"/>
          <w:sz w:val="15"/>
          <w:szCs w:val="15"/>
        </w:rPr>
      </w:pPr>
      <w:r w:rsidDel="00000000" w:rsidR="00000000" w:rsidRPr="00000000">
        <w:rPr>
          <w:rFonts w:ascii="Trebuchet MS" w:cs="Trebuchet MS" w:eastAsia="Trebuchet MS" w:hAnsi="Trebuchet MS"/>
          <w:b w:val="1"/>
          <w:sz w:val="15"/>
          <w:szCs w:val="15"/>
          <w:rtl w:val="0"/>
        </w:rPr>
        <w:t xml:space="preserve">Palabras clave:</w:t>
      </w:r>
      <w:r w:rsidDel="00000000" w:rsidR="00000000" w:rsidRPr="00000000">
        <w:rPr>
          <w:rFonts w:ascii="Trebuchet MS" w:cs="Trebuchet MS" w:eastAsia="Trebuchet MS" w:hAnsi="Trebuchet MS"/>
          <w:sz w:val="15"/>
          <w:szCs w:val="15"/>
          <w:rtl w:val="0"/>
        </w:rPr>
        <w:t xml:space="preserve"> Prácticas sostenibles, Responsabilidad Social Universitaria (RSU, Revisión Sistemática</w:t>
      </w:r>
      <w:r w:rsidDel="00000000" w:rsidR="00000000" w:rsidRPr="00000000">
        <w:rPr>
          <w:rtl w:val="0"/>
        </w:rPr>
      </w:r>
    </w:p>
    <w:p w:rsidR="00000000" w:rsidDel="00000000" w:rsidP="00000000" w:rsidRDefault="00000000" w:rsidRPr="00000000" w14:paraId="00000014">
      <w:pPr>
        <w:spacing w:line="240" w:lineRule="auto"/>
        <w:ind w:left="110" w:right="107" w:firstLine="720"/>
        <w:rPr>
          <w:sz w:val="15"/>
          <w:szCs w:val="15"/>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5" w:right="0" w:firstLine="720"/>
        <w:jc w:val="left"/>
        <w:rPr>
          <w:rFonts w:ascii="Helvetica Neue" w:cs="Helvetica Neue" w:eastAsia="Helvetica Neue" w:hAnsi="Helvetica Neue"/>
          <w:b w:val="0"/>
          <w:i w:val="0"/>
          <w:smallCaps w:val="0"/>
          <w:strike w:val="0"/>
          <w:color w:val="000000"/>
          <w:sz w:val="2"/>
          <w:szCs w:val="2"/>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
          <w:szCs w:val="2"/>
          <w:u w:val="none"/>
          <w:shd w:fill="auto" w:val="clear"/>
          <w:vertAlign w:val="baseline"/>
        </w:rPr>
        <mc:AlternateContent>
          <mc:Choice Requires="wpg">
            <w:drawing>
              <wp:inline distB="0" distT="0" distL="0" distR="0">
                <wp:extent cx="6692900" cy="6350"/>
                <wp:effectExtent b="0" l="0" r="0" t="0"/>
                <wp:docPr id="3" name=""/>
                <a:graphic>
                  <a:graphicData uri="http://schemas.microsoft.com/office/word/2010/wordprocessingGroup">
                    <wpg:wgp>
                      <wpg:cNvGrpSpPr/>
                      <wpg:grpSpPr>
                        <a:xfrm>
                          <a:off x="1999550" y="3775225"/>
                          <a:ext cx="6692900" cy="6350"/>
                          <a:chOff x="1999550" y="3775225"/>
                          <a:chExt cx="6692275" cy="9550"/>
                        </a:xfrm>
                      </wpg:grpSpPr>
                      <wpg:grpSp>
                        <wpg:cNvGrpSpPr/>
                        <wpg:grpSpPr>
                          <a:xfrm>
                            <a:off x="1999550" y="3776825"/>
                            <a:ext cx="6692265" cy="3175"/>
                            <a:chOff x="0" y="0"/>
                            <a:chExt cx="10539" cy="5"/>
                          </a:xfrm>
                        </wpg:grpSpPr>
                        <wps:wsp>
                          <wps:cNvSpPr/>
                          <wps:cNvPr id="3" name="Shape 3"/>
                          <wps:spPr>
                            <a:xfrm>
                              <a:off x="0" y="0"/>
                              <a:ext cx="1052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5"/>
                              <a:ext cx="10539"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wpg:grpSp>
                    </wpg:wgp>
                  </a:graphicData>
                </a:graphic>
              </wp:inline>
            </w:drawing>
          </mc:Choice>
          <mc:Fallback>
            <w:drawing>
              <wp:inline distB="0" distT="0" distL="0" distR="0">
                <wp:extent cx="6692900" cy="6350"/>
                <wp:effectExtent b="0" l="0" r="0" t="0"/>
                <wp:docPr id="3" name="image5.png"/>
                <a:graphic>
                  <a:graphicData uri="http://schemas.openxmlformats.org/drawingml/2006/picture">
                    <pic:pic>
                      <pic:nvPicPr>
                        <pic:cNvPr id="0" name="image5.png"/>
                        <pic:cNvPicPr preferRelativeResize="0"/>
                      </pic:nvPicPr>
                      <pic:blipFill>
                        <a:blip r:embed="rId26"/>
                        <a:srcRect/>
                        <a:stretch>
                          <a:fillRect/>
                        </a:stretch>
                      </pic:blipFill>
                      <pic:spPr>
                        <a:xfrm>
                          <a:off x="0" y="0"/>
                          <a:ext cx="6692900" cy="635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6">
      <w:pPr>
        <w:spacing w:before="57" w:line="240" w:lineRule="auto"/>
        <w:ind w:left="110" w:firstLine="720"/>
        <w:rPr>
          <w:rFonts w:ascii="Arial Black" w:cs="Arial Black" w:eastAsia="Arial Black" w:hAnsi="Arial Black"/>
          <w:sz w:val="20"/>
          <w:szCs w:val="20"/>
        </w:rPr>
      </w:pPr>
      <w:r w:rsidDel="00000000" w:rsidR="00000000" w:rsidRPr="00000000">
        <w:rPr>
          <w:rFonts w:ascii="Arial Black" w:cs="Arial Black" w:eastAsia="Arial Black" w:hAnsi="Arial Black"/>
          <w:sz w:val="20"/>
          <w:szCs w:val="20"/>
          <w:rtl w:val="0"/>
        </w:rPr>
        <w:t xml:space="preserve">Socially Responsible University Practices: A Literary Review</w:t>
      </w:r>
    </w:p>
    <w:p w:rsidR="00000000" w:rsidDel="00000000" w:rsidP="00000000" w:rsidRDefault="00000000" w:rsidRPr="00000000" w14:paraId="00000017">
      <w:pPr>
        <w:spacing w:before="57" w:line="240" w:lineRule="auto"/>
        <w:ind w:left="110" w:firstLine="720"/>
        <w:rPr>
          <w:rFonts w:ascii="Arial Black" w:cs="Arial Black" w:eastAsia="Arial Black" w:hAnsi="Arial Black"/>
          <w:sz w:val="19"/>
          <w:szCs w:val="19"/>
        </w:rPr>
      </w:pPr>
      <w:r w:rsidDel="00000000" w:rsidR="00000000" w:rsidRPr="00000000">
        <w:rPr>
          <w:rFonts w:ascii="Arial Black" w:cs="Arial Black" w:eastAsia="Arial Black" w:hAnsi="Arial Black"/>
          <w:sz w:val="19"/>
          <w:szCs w:val="19"/>
          <w:rtl w:val="0"/>
        </w:rPr>
        <w:t xml:space="preserve">Abstract</w:t>
      </w:r>
    </w:p>
    <w:p w:rsidR="00000000" w:rsidDel="00000000" w:rsidP="00000000" w:rsidRDefault="00000000" w:rsidRPr="00000000" w14:paraId="00000018">
      <w:pPr>
        <w:spacing w:before="61" w:line="240" w:lineRule="auto"/>
        <w:ind w:left="851" w:firstLine="589"/>
        <w:rPr>
          <w:sz w:val="15"/>
          <w:szCs w:val="15"/>
        </w:rPr>
      </w:pPr>
      <w:r w:rsidDel="00000000" w:rsidR="00000000" w:rsidRPr="00000000">
        <w:rPr>
          <w:sz w:val="18"/>
          <w:szCs w:val="18"/>
          <w:rtl w:val="0"/>
        </w:rPr>
        <w:t xml:space="preserve">The following article emerges as a trend: the growing importance of adopting a Corporate Social Responsibility (CSR) approach in institutions to ensure a positive impact on society, assuming an active and decisive role in addressing global challenges and contributing to the advancement of society towards sustainable and equitable goals. The objective of this article is to analyze the theoretical and conceptual trends of CSR practices between 2018 and 2023 to contextualize their implementation, characteristics, and impact. The methodology was guided by a systematic review based on bibliometric analysis to identify patterns in literature, impact studies, and evolution. Findings indicate that universities should embrace socially responsible practices as an integral part of their functions, utilizing sustainable processes from a social, economic, and environmental perspective</w:t>
      </w:r>
      <w:r w:rsidDel="00000000" w:rsidR="00000000" w:rsidRPr="00000000">
        <w:rPr>
          <w:rFonts w:ascii="Trebuchet MS" w:cs="Trebuchet MS" w:eastAsia="Trebuchet MS" w:hAnsi="Trebuchet MS"/>
          <w:b w:val="1"/>
          <w:sz w:val="15"/>
          <w:szCs w:val="15"/>
          <w:rtl w:val="0"/>
        </w:rPr>
        <w:t xml:space="preserve">Keywords: </w:t>
      </w:r>
      <w:r w:rsidDel="00000000" w:rsidR="00000000" w:rsidRPr="00000000">
        <w:rPr>
          <w:sz w:val="15"/>
          <w:szCs w:val="15"/>
          <w:rtl w:val="0"/>
        </w:rPr>
        <w:t xml:space="preserve">: University Social Responsibility (USR), Sustainable Practices, Systematic Review.</w:t>
      </w:r>
    </w:p>
    <w:p w:rsidR="00000000" w:rsidDel="00000000" w:rsidP="00000000" w:rsidRDefault="00000000" w:rsidRPr="00000000" w14:paraId="00000019">
      <w:pPr>
        <w:spacing w:before="61" w:line="240" w:lineRule="auto"/>
        <w:ind w:left="110" w:firstLine="720"/>
        <w:rPr>
          <w:sz w:val="15"/>
          <w:szCs w:val="15"/>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76200</wp:posOffset>
                </wp:positionH>
                <wp:positionV relativeFrom="paragraph">
                  <wp:posOffset>63500</wp:posOffset>
                </wp:positionV>
                <wp:extent cx="6692900" cy="12700"/>
                <wp:effectExtent b="0" l="0" r="0" t="0"/>
                <wp:wrapTopAndBottom distB="0" distT="0"/>
                <wp:docPr id="6" name=""/>
                <a:graphic>
                  <a:graphicData uri="http://schemas.microsoft.com/office/word/2010/wordprocessingShape">
                    <wps:wsp>
                      <wps:cNvSpPr/>
                      <wps:cNvPr id="26" name="Shape 26"/>
                      <wps:spPr>
                        <a:xfrm>
                          <a:off x="1999550" y="3779365"/>
                          <a:ext cx="6692900" cy="1270"/>
                        </a:xfrm>
                        <a:custGeom>
                          <a:rect b="b" l="l" r="r" t="t"/>
                          <a:pathLst>
                            <a:path extrusionOk="0" h="120000" w="10540">
                              <a:moveTo>
                                <a:pt x="0" y="0"/>
                              </a:moveTo>
                              <a:lnTo>
                                <a:pt x="1054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76200</wp:posOffset>
                </wp:positionH>
                <wp:positionV relativeFrom="paragraph">
                  <wp:posOffset>63500</wp:posOffset>
                </wp:positionV>
                <wp:extent cx="6692900" cy="12700"/>
                <wp:effectExtent b="0" l="0" r="0" t="0"/>
                <wp:wrapTopAndBottom distB="0" distT="0"/>
                <wp:docPr id="6" name="image14.png"/>
                <a:graphic>
                  <a:graphicData uri="http://schemas.openxmlformats.org/drawingml/2006/picture">
                    <pic:pic>
                      <pic:nvPicPr>
                        <pic:cNvPr id="0" name="image14.png"/>
                        <pic:cNvPicPr preferRelativeResize="0"/>
                      </pic:nvPicPr>
                      <pic:blipFill>
                        <a:blip r:embed="rId27"/>
                        <a:srcRect/>
                        <a:stretch>
                          <a:fillRect/>
                        </a:stretch>
                      </pic:blipFill>
                      <pic:spPr>
                        <a:xfrm>
                          <a:off x="0" y="0"/>
                          <a:ext cx="6692900" cy="12700"/>
                        </a:xfrm>
                        <a:prstGeom prst="rect"/>
                        <a:ln/>
                      </pic:spPr>
                    </pic:pic>
                  </a:graphicData>
                </a:graphic>
              </wp:anchor>
            </w:drawing>
          </mc:Fallback>
        </mc:AlternateContent>
      </w:r>
    </w:p>
    <w:p w:rsidR="00000000" w:rsidDel="00000000" w:rsidP="00000000" w:rsidRDefault="00000000" w:rsidRPr="00000000" w14:paraId="0000001A">
      <w:pPr>
        <w:spacing w:line="240" w:lineRule="auto"/>
        <w:ind w:left="110" w:right="108" w:firstLine="720"/>
        <w:rPr>
          <w:rFonts w:ascii="Arial Black" w:cs="Arial Black" w:eastAsia="Arial Black" w:hAnsi="Arial Black"/>
          <w:sz w:val="20"/>
          <w:szCs w:val="20"/>
        </w:rPr>
      </w:pPr>
      <w:r w:rsidDel="00000000" w:rsidR="00000000" w:rsidRPr="00000000">
        <w:rPr>
          <w:rFonts w:ascii="Arial Black" w:cs="Arial Black" w:eastAsia="Arial Black" w:hAnsi="Arial Black"/>
          <w:sz w:val="20"/>
          <w:szCs w:val="20"/>
          <w:rtl w:val="0"/>
        </w:rPr>
        <w:t xml:space="preserve">Práticas universitárias socialmente responsáveis: Uma revisão literária</w:t>
      </w:r>
    </w:p>
    <w:p w:rsidR="00000000" w:rsidDel="00000000" w:rsidP="00000000" w:rsidRDefault="00000000" w:rsidRPr="00000000" w14:paraId="0000001B">
      <w:pPr>
        <w:spacing w:line="240" w:lineRule="auto"/>
        <w:ind w:left="110" w:right="108" w:firstLine="720"/>
        <w:rPr>
          <w:rFonts w:ascii="Arial Black" w:cs="Arial Black" w:eastAsia="Arial Black" w:hAnsi="Arial Black"/>
          <w:sz w:val="19"/>
          <w:szCs w:val="19"/>
        </w:rPr>
      </w:pPr>
      <w:r w:rsidDel="00000000" w:rsidR="00000000" w:rsidRPr="00000000">
        <w:rPr>
          <w:rFonts w:ascii="Arial Black" w:cs="Arial Black" w:eastAsia="Arial Black" w:hAnsi="Arial Black"/>
          <w:sz w:val="19"/>
          <w:szCs w:val="19"/>
          <w:rtl w:val="0"/>
        </w:rPr>
        <w:t xml:space="preserve">Resumo</w:t>
      </w:r>
    </w:p>
    <w:p w:rsidR="00000000" w:rsidDel="00000000" w:rsidP="00000000" w:rsidRDefault="00000000" w:rsidRPr="00000000" w14:paraId="0000001C">
      <w:pPr>
        <w:spacing w:before="61" w:line="240" w:lineRule="auto"/>
        <w:ind w:left="851" w:firstLine="589"/>
        <w:rPr>
          <w:rFonts w:ascii="Trebuchet MS" w:cs="Trebuchet MS" w:eastAsia="Trebuchet MS" w:hAnsi="Trebuchet MS"/>
          <w:sz w:val="15"/>
          <w:szCs w:val="15"/>
        </w:rPr>
      </w:pPr>
      <w:r w:rsidDel="00000000" w:rsidR="00000000" w:rsidRPr="00000000">
        <w:rPr>
          <w:sz w:val="18"/>
          <w:szCs w:val="18"/>
          <w:rtl w:val="0"/>
        </w:rPr>
        <w:t xml:space="preserve">O próximo artigo surge como uma tendência: a crescente importância de adotar uma abordagem de Responsabilidade Social Corporativa (RSC) nas instituições para garantir um impacto positivo na sociedade, assumindo um papel ativo e decisivo na busca por soluções para desafios globais e contribuindo para o avanço da sociedade em direção a metas sustentáveis e equitativas. O objetivo deste artigo é analisar as tendências teóricas e conceituais das práticas de RSC entre 2018 e 2023 para contextualizar sua implementação, características e impacto. A metodologia foi orientada por uma revisão sistemática baseada em análise bibliométrica para identificar padrões na literatura, estudos de impacto e evolução. Os resultados indicam que as universidades devem adotar práticas socialmente responsáveis como parte integrante de suas funções, utilizando processos sustentáveis sob uma ótica social, econômica e ambienta</w:t>
      </w:r>
      <w:r w:rsidDel="00000000" w:rsidR="00000000" w:rsidRPr="00000000">
        <w:rPr>
          <w:rFonts w:ascii="Trebuchet MS" w:cs="Trebuchet MS" w:eastAsia="Trebuchet MS" w:hAnsi="Trebuchet MS"/>
          <w:b w:val="1"/>
          <w:sz w:val="15"/>
          <w:szCs w:val="15"/>
          <w:rtl w:val="0"/>
        </w:rPr>
        <w:t xml:space="preserve">Palavras-chave</w:t>
      </w:r>
      <w:r w:rsidDel="00000000" w:rsidR="00000000" w:rsidRPr="00000000">
        <w:rPr>
          <w:rFonts w:ascii="Trebuchet MS" w:cs="Trebuchet MS" w:eastAsia="Trebuchet MS" w:hAnsi="Trebuchet MS"/>
          <w:sz w:val="15"/>
          <w:szCs w:val="15"/>
          <w:rtl w:val="0"/>
        </w:rPr>
        <w:t xml:space="preserve">: Práticas Sustentáveis, Responsabilidade Social Universitária (RSU), Revisão Sistemática </w:t>
      </w:r>
    </w:p>
    <w:p w:rsidR="00000000" w:rsidDel="00000000" w:rsidP="00000000" w:rsidRDefault="00000000" w:rsidRPr="00000000" w14:paraId="0000001D">
      <w:pPr>
        <w:spacing w:before="61" w:lineRule="auto"/>
        <w:rPr>
          <w:sz w:val="15"/>
          <w:szCs w:val="15"/>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63500</wp:posOffset>
                </wp:positionH>
                <wp:positionV relativeFrom="paragraph">
                  <wp:posOffset>203200</wp:posOffset>
                </wp:positionV>
                <wp:extent cx="6692900" cy="12700"/>
                <wp:effectExtent b="0" l="0" r="0" t="0"/>
                <wp:wrapTopAndBottom distB="0" distT="0"/>
                <wp:docPr id="5" name=""/>
                <a:graphic>
                  <a:graphicData uri="http://schemas.microsoft.com/office/word/2010/wordprocessingShape">
                    <wps:wsp>
                      <wps:cNvSpPr/>
                      <wps:cNvPr id="25" name="Shape 25"/>
                      <wps:spPr>
                        <a:xfrm>
                          <a:off x="1999550" y="3779365"/>
                          <a:ext cx="6692900" cy="1270"/>
                        </a:xfrm>
                        <a:custGeom>
                          <a:rect b="b" l="l" r="r" t="t"/>
                          <a:pathLst>
                            <a:path extrusionOk="0" h="120000" w="10540">
                              <a:moveTo>
                                <a:pt x="0" y="0"/>
                              </a:moveTo>
                              <a:lnTo>
                                <a:pt x="10540" y="0"/>
                              </a:lnTo>
                            </a:path>
                          </a:pathLst>
                        </a:cu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63500</wp:posOffset>
                </wp:positionH>
                <wp:positionV relativeFrom="paragraph">
                  <wp:posOffset>203200</wp:posOffset>
                </wp:positionV>
                <wp:extent cx="6692900" cy="12700"/>
                <wp:effectExtent b="0" l="0" r="0" t="0"/>
                <wp:wrapTopAndBottom distB="0" distT="0"/>
                <wp:docPr id="5" name="image10.png"/>
                <a:graphic>
                  <a:graphicData uri="http://schemas.openxmlformats.org/drawingml/2006/picture">
                    <pic:pic>
                      <pic:nvPicPr>
                        <pic:cNvPr id="0" name="image10.png"/>
                        <pic:cNvPicPr preferRelativeResize="0"/>
                      </pic:nvPicPr>
                      <pic:blipFill>
                        <a:blip r:embed="rId28"/>
                        <a:srcRect/>
                        <a:stretch>
                          <a:fillRect/>
                        </a:stretch>
                      </pic:blipFill>
                      <pic:spPr>
                        <a:xfrm>
                          <a:off x="0" y="0"/>
                          <a:ext cx="6692900" cy="12700"/>
                        </a:xfrm>
                        <a:prstGeom prst="rect"/>
                        <a:ln/>
                      </pic:spPr>
                    </pic:pic>
                  </a:graphicData>
                </a:graphic>
              </wp:anchor>
            </w:drawing>
          </mc:Fallback>
        </mc:AlternateContent>
      </w:r>
    </w:p>
    <w:p w:rsidR="00000000" w:rsidDel="00000000" w:rsidP="00000000" w:rsidRDefault="00000000" w:rsidRPr="00000000" w14:paraId="0000001E">
      <w:pPr>
        <w:spacing w:before="61" w:lineRule="auto"/>
        <w:ind w:firstLine="0"/>
        <w:rPr>
          <w:sz w:val="15"/>
          <w:szCs w:val="15"/>
        </w:rPr>
      </w:pPr>
      <w:r w:rsidDel="00000000" w:rsidR="00000000" w:rsidRPr="00000000">
        <w:rPr>
          <w:rtl w:val="0"/>
        </w:rPr>
      </w:r>
    </w:p>
    <w:p w:rsidR="00000000" w:rsidDel="00000000" w:rsidP="00000000" w:rsidRDefault="00000000" w:rsidRPr="00000000" w14:paraId="0000001F">
      <w:pPr>
        <w:spacing w:before="61" w:lineRule="auto"/>
        <w:ind w:firstLine="0"/>
        <w:rPr>
          <w:sz w:val="15"/>
          <w:szCs w:val="15"/>
        </w:rPr>
      </w:pPr>
      <w:r w:rsidDel="00000000" w:rsidR="00000000" w:rsidRPr="00000000">
        <w:rPr>
          <w:rtl w:val="0"/>
        </w:rPr>
      </w:r>
    </w:p>
    <w:p w:rsidR="00000000" w:rsidDel="00000000" w:rsidP="00000000" w:rsidRDefault="00000000" w:rsidRPr="00000000" w14:paraId="00000020">
      <w:pPr>
        <w:spacing w:before="61" w:lineRule="auto"/>
        <w:ind w:firstLine="0"/>
        <w:rPr>
          <w:sz w:val="15"/>
          <w:szCs w:val="15"/>
        </w:rPr>
      </w:pPr>
      <w:r w:rsidDel="00000000" w:rsidR="00000000" w:rsidRPr="00000000">
        <w:rPr>
          <w:color w:val="0000ff"/>
          <w:sz w:val="15"/>
          <w:szCs w:val="15"/>
          <w:rtl w:val="0"/>
        </w:rPr>
        <w:t xml:space="preserve"> </w:t>
      </w:r>
      <w:r w:rsidDel="00000000" w:rsidR="00000000" w:rsidRPr="00000000">
        <w:rPr>
          <w:rtl w:val="0"/>
        </w:rPr>
      </w:r>
    </w:p>
    <w:p w:rsidR="00000000" w:rsidDel="00000000" w:rsidP="00000000" w:rsidRDefault="00000000" w:rsidRPr="00000000" w14:paraId="00000021">
      <w:pPr>
        <w:ind w:firstLine="0"/>
        <w:rPr>
          <w:sz w:val="15"/>
          <w:szCs w:val="15"/>
        </w:rPr>
        <w:sectPr>
          <w:headerReference r:id="rId29" w:type="default"/>
          <w:headerReference r:id="rId30" w:type="even"/>
          <w:pgSz w:h="15840" w:w="12240" w:orient="portrait"/>
          <w:pgMar w:bottom="278" w:top="380" w:left="743" w:right="743" w:header="469" w:footer="0"/>
          <w:pgNumType w:start="298"/>
        </w:sectPr>
      </w:pPr>
      <w:r w:rsidDel="00000000" w:rsidR="00000000" w:rsidRPr="00000000">
        <w:rPr>
          <w:rtl w:val="0"/>
        </w:rPr>
      </w:r>
    </w:p>
    <w:bookmarkStart w:colFirst="0" w:colLast="0" w:name="bookmark=id.gjdgxs" w:id="0"/>
    <w:bookmarkEnd w:id="0"/>
    <w:p w:rsidR="00000000" w:rsidDel="00000000" w:rsidP="00000000" w:rsidRDefault="00000000" w:rsidRPr="00000000" w14:paraId="00000022">
      <w:pPr>
        <w:pStyle w:val="Heading1"/>
        <w:numPr>
          <w:ilvl w:val="0"/>
          <w:numId w:val="3"/>
        </w:numPr>
        <w:tabs>
          <w:tab w:val="left" w:leader="none" w:pos="451"/>
        </w:tabs>
        <w:spacing w:before="44" w:line="360" w:lineRule="auto"/>
        <w:ind w:left="530" w:right="40" w:hanging="36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Introducción</w:t>
      </w:r>
    </w:p>
    <w:p w:rsidR="00000000" w:rsidDel="00000000" w:rsidP="00000000" w:rsidRDefault="00000000" w:rsidRPr="00000000" w14:paraId="00000023">
      <w:pPr>
        <w:pStyle w:val="Heading1"/>
        <w:tabs>
          <w:tab w:val="left" w:leader="none" w:pos="451"/>
        </w:tabs>
        <w:spacing w:before="44" w:line="360" w:lineRule="auto"/>
        <w:ind w:left="170" w:right="40" w:firstLine="166"/>
        <w:jc w:val="right"/>
        <w:rPr>
          <w:rFonts w:ascii="Times New Roman" w:cs="Times New Roman" w:eastAsia="Times New Roman" w:hAnsi="Times New Roman"/>
          <w:b w:val="0"/>
          <w:i w:val="1"/>
          <w:sz w:val="24"/>
          <w:szCs w:val="24"/>
        </w:rPr>
      </w:pPr>
      <w:r w:rsidDel="00000000" w:rsidR="00000000" w:rsidRPr="00000000">
        <w:rPr>
          <w:rFonts w:ascii="Times New Roman" w:cs="Times New Roman" w:eastAsia="Times New Roman" w:hAnsi="Times New Roman"/>
          <w:b w:val="0"/>
          <w:i w:val="1"/>
          <w:sz w:val="24"/>
          <w:szCs w:val="24"/>
          <w:rtl w:val="0"/>
        </w:rPr>
        <w:t xml:space="preserve">"Ser socialmente responsable no es una carga, es una inversión en el futuro."</w:t>
      </w:r>
    </w:p>
    <w:p w:rsidR="00000000" w:rsidDel="00000000" w:rsidP="00000000" w:rsidRDefault="00000000" w:rsidRPr="00000000" w14:paraId="00000024">
      <w:pPr>
        <w:pStyle w:val="Heading1"/>
        <w:tabs>
          <w:tab w:val="left" w:leader="none" w:pos="451"/>
        </w:tabs>
        <w:spacing w:before="0" w:line="360" w:lineRule="auto"/>
        <w:ind w:left="170" w:right="40" w:firstLine="166"/>
        <w:jc w:val="right"/>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David Green</w:t>
      </w:r>
    </w:p>
    <w:p w:rsidR="00000000" w:rsidDel="00000000" w:rsidP="00000000" w:rsidRDefault="00000000" w:rsidRPr="00000000" w14:paraId="00000025">
      <w:pPr>
        <w:pStyle w:val="Heading1"/>
        <w:tabs>
          <w:tab w:val="left" w:leader="none" w:pos="451"/>
        </w:tabs>
        <w:spacing w:before="0" w:line="360" w:lineRule="auto"/>
        <w:ind w:left="170" w:right="40" w:firstLine="72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   Últimamente la Responsabilidad Social (RS) ha tomado fuerza y relevancia en la educación superior, como una estrategia para otorgarle un sentido más humano a las entidades, además de garantizar su sustentabilidad y consecuentemente su competitividad (Virgilio et al., 2023)  Dichas instituciones desempeñan un papel fundamental en el avance de la sociedad, por lo que deben asumir un compromiso más allá de la enseñanza académica, que permita integrar la dimensión económica, ambiental y social en cada uno de sus procesos y garantizar la formación de profesionales que sean conscientes del desarrollo sostenible. La Responsabilidad Social Universitaria (RSU), representa para cualquier Institución de Educación Superior (IES) un reto, se requiere del compromiso de todos los miembros de la organización desde el nivel estratégico hasta el nivel operativo, así como la vinculación de los estudiantes (Virgilio et al., 2023). El aumento de la producción científica a nivel mundial y el surgimiento de organismos internacionales promotores de su implementación y el estudio sobre este enfoque de Santana Murcia, A.R. (2022) da auge a la investigación y análisis continuos, para adentrarse en el ámbito de las prácticas universitarias socialmente responsables, abriendo la puerta a futuros avances y un mayor entendimiento en este campo. Esta investigación se fundamenta en una revisión de literatura científica sobre prácticas socialmente responsables a nivel nacional e internacional que han aportado significativamente a las Instituciones de Educación Superior (IES) y a su consolidación como organizaciones alineadas en un marco de Responsabilidad Social. La metodología aplicada se ha estructurado en dos fases: inicialmente, se realizó un análisis bibliométrico, mediante la búsqueda de artículos en la base de datos Scopus®, seguido por la elaboración de la ecuación de búsqueda y la definición de criterios de inclusión y exclusión y posteriormente, se procedió con la revisión sistemática que originó el análisis presente en los resultados. El artículo se estructura en 3 partes: diseño metodológico, resultados de la revisión sistemática y conclusiones y recomendaciones.</w:t>
      </w:r>
    </w:p>
    <w:p w:rsidR="00000000" w:rsidDel="00000000" w:rsidP="00000000" w:rsidRDefault="00000000" w:rsidRPr="00000000" w14:paraId="00000026">
      <w:pPr>
        <w:pStyle w:val="Heading1"/>
        <w:tabs>
          <w:tab w:val="left" w:leader="none" w:pos="451"/>
        </w:tabs>
        <w:spacing w:before="0" w:line="360" w:lineRule="auto"/>
        <w:ind w:left="170" w:right="40" w:firstLine="720"/>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27">
      <w:pPr>
        <w:pStyle w:val="Heading1"/>
        <w:numPr>
          <w:ilvl w:val="0"/>
          <w:numId w:val="3"/>
        </w:numPr>
        <w:tabs>
          <w:tab w:val="left" w:leader="none" w:pos="451"/>
        </w:tabs>
        <w:spacing w:before="0" w:line="360" w:lineRule="auto"/>
        <w:ind w:left="530" w:right="40" w:hanging="36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Marco teórico</w:t>
      </w:r>
    </w:p>
    <w:p w:rsidR="00000000" w:rsidDel="00000000" w:rsidP="00000000" w:rsidRDefault="00000000" w:rsidRPr="00000000" w14:paraId="00000028">
      <w:pPr>
        <w:pStyle w:val="Heading1"/>
        <w:tabs>
          <w:tab w:val="left" w:leader="none" w:pos="451"/>
        </w:tabs>
        <w:spacing w:before="0" w:line="360" w:lineRule="auto"/>
        <w:ind w:left="170" w:right="40"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0"/>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Aproximación hacia el concepto de Responsabilidad Social y Responsabilidad Social Corporativa Empresarial hacia la RSU:</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56" w:line="360" w:lineRule="auto"/>
        <w:ind w:left="17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evolución temporal del concepto de Responsabilidad Social (RS) ha seguido diferentes formas, principios y enfoques. La Comisión de las Comunidades Europeas (2001) la define como la integración voluntaria de preocupaciones sociales y medioambientales en las operaciones comerciales de las empresas y sus relaciones. Por su parte, la Norma ISO 26000, según Andía (2015) y Argandoña &amp; Isea (2011), establece el compromiso de una organización y la responsabilidad de sus acciones sobre su entorno y medio ambiente de manera ética y transparente. Esta norma, además, ofrece orientación práctica sobre cómo las empresas pueden operar de manera ética y transparente, contribuyendo al desarrollo sostenible.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56" w:line="360" w:lineRule="auto"/>
        <w:ind w:left="17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enfoque de RS, al ganar prominencia en el ámbito organizacional, representa un paradigma donde la consecución de la productividad se equilibra cuidadosamente con la ética. La importancia radica en que las empresas deben reconocer su responsabilidad hacia los stakeholders, sirviendo como un modelo ejemplar para organizaciones de índole gubernamental, particularmente en el contexto de las universidades.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56" w:line="360" w:lineRule="auto"/>
        <w:ind w:left="17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instituciones académicas, pilares fundamentales en la formación y desarrollo de la sociedad, impactan de manera significativa en su entorno y en el medio ambiente. En este contexto, es imperativo que las universidades tomen conciencia de la extensión de sus impactos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organizacionales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cognitivos, sociales y educativo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 y asuman la responsabilidad correspondiente. Al igual que las empresas, deben reconocer el alcance de sus acciones y trabajar hacia la consecución de objetivos comunes que vayan más allá de la excelencia académica.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56" w:line="360" w:lineRule="auto"/>
        <w:ind w:left="17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este contexto, la adopción de un enfoque de RSU se presenta como una necesidad imperante, como entidad educativa y formadora de futuros profesionales, tiene la capacidad y la responsabilidad de liderar con el ejemplo y están llamadas hoy en día a vincularse al  desarrollo sostenible, pilar fundamental dentro de la sociedad que aporta directamente al progreso y al bienestar general de la sociedad. González, N. C., &amp; Roldán, C. D. (2018).</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56" w:line="360" w:lineRule="auto"/>
        <w:ind w:left="17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tanto y en consecución a lo anterior, la implementación de prácticas éticas y socialmente responsables en el ámbito universitario no solo fortalece la reputación y la conexión con la comunidad, sino que también contribuye al desarrollo sostenible y al bienestar general. La conciencia de los impactos sociales y ambientales debe traducirse en acciones concretas, desde la gestión integral de procesos hasta la incorporación de políticas que aborden aspectos cruciales como la sostenibilidad, la equidad y la responsabilidad social.</w:t>
      </w:r>
    </w:p>
    <w:bookmarkStart w:colFirst="0" w:colLast="0" w:name="bookmark=id.30j0zll" w:id="1"/>
    <w:bookmarkEnd w:id="1"/>
    <w:bookmarkStart w:colFirst="0" w:colLast="0" w:name="bookmark=id.1fob9te" w:id="2"/>
    <w:bookmarkEnd w:id="2"/>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45" w:line="360" w:lineRule="auto"/>
        <w:ind w:left="530" w:right="164" w:hanging="36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Metodología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170" w:right="164"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 método utilizado para esta revisión fue la propuesta por David Denyer, David Tranfield y Palminder Smart (2003) comprende tres fases planeación, ejecución, reporte y diseminación (Ver Tabla 1) esto con el propósito de obtener resultados acordes al propósito de la investigación.</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480" w:lineRule="auto"/>
        <w:ind w:left="0"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Tabla 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Metodología de la revisión sistemática de la literatura</w:t>
      </w:r>
    </w:p>
    <w:tbl>
      <w:tblPr>
        <w:tblStyle w:val="Table1"/>
        <w:tblW w:w="8838.0" w:type="dxa"/>
        <w:jc w:val="left"/>
        <w:tblLayout w:type="fixed"/>
        <w:tblLook w:val="0000"/>
      </w:tblPr>
      <w:tblGrid>
        <w:gridCol w:w="2126"/>
        <w:gridCol w:w="6712"/>
        <w:tblGridChange w:id="0">
          <w:tblGrid>
            <w:gridCol w:w="2126"/>
            <w:gridCol w:w="6712"/>
          </w:tblGrid>
        </w:tblGridChange>
      </w:tblGrid>
      <w:tr>
        <w:trPr>
          <w:cantSplit w:val="0"/>
          <w:trHeight w:val="304" w:hRule="atLeast"/>
          <w:tblHeader w:val="0"/>
        </w:trPr>
        <w:tc>
          <w:tcPr>
            <w:tcBorders>
              <w:bottom w:color="7e7e7e" w:space="0" w:sz="4"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ETAPA</w:t>
            </w:r>
          </w:p>
        </w:tc>
        <w:tc>
          <w:tcPr>
            <w:tcBorders>
              <w:bottom w:color="7e7e7e" w:space="0" w:sz="4"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DESCRIPCIÓN</w:t>
            </w:r>
          </w:p>
        </w:tc>
      </w:tr>
      <w:tr>
        <w:trPr>
          <w:cantSplit w:val="0"/>
          <w:trHeight w:val="960" w:hRule="atLeast"/>
          <w:tblHeader w:val="0"/>
        </w:trPr>
        <w:tc>
          <w:tcPr>
            <w:tcBorders>
              <w:top w:color="7e7e7e" w:space="0" w:sz="4" w:val="single"/>
            </w:tcBorders>
            <w:shd w:fill="f1f1f1"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Planeación</w:t>
            </w:r>
          </w:p>
        </w:tc>
        <w:tc>
          <w:tcPr>
            <w:tcBorders>
              <w:top w:color="7e7e7e" w:space="0" w:sz="4" w:val="single"/>
            </w:tcBorders>
            <w:shd w:fill="f1f1f1" w:val="clear"/>
          </w:tcPr>
          <w:p w:rsidR="00000000" w:rsidDel="00000000" w:rsidP="00000000" w:rsidRDefault="00000000" w:rsidRPr="00000000" w14:paraId="0000003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
              </w:tabs>
              <w:spacing w:after="0" w:before="1"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Identificación de la necesidad de una revisión</w:t>
            </w:r>
          </w:p>
          <w:p w:rsidR="00000000" w:rsidDel="00000000" w:rsidP="00000000" w:rsidRDefault="00000000" w:rsidRPr="00000000" w14:paraId="0000003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
              </w:tabs>
              <w:spacing w:after="0" w:before="27"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Desarrollo del protocolo de revisión</w:t>
            </w:r>
          </w:p>
          <w:p w:rsidR="00000000" w:rsidDel="00000000" w:rsidP="00000000" w:rsidRDefault="00000000" w:rsidRPr="00000000" w14:paraId="0000003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
              </w:tabs>
              <w:spacing w:after="0" w:before="27"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Validación del protocolo</w:t>
            </w:r>
          </w:p>
          <w:p w:rsidR="00000000" w:rsidDel="00000000" w:rsidP="00000000" w:rsidRDefault="00000000" w:rsidRPr="00000000" w14:paraId="0000003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03"/>
              </w:tabs>
              <w:spacing w:after="0" w:before="27"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Selección base de datos</w:t>
            </w:r>
          </w:p>
        </w:tc>
      </w:tr>
      <w:tr>
        <w:trPr>
          <w:cantSplit w:val="0"/>
          <w:trHeight w:val="1208" w:hRule="atLeast"/>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Ejecución</w:t>
            </w:r>
          </w:p>
        </w:tc>
        <w:tc>
          <w:tcPr/>
          <w:p w:rsidR="00000000" w:rsidDel="00000000" w:rsidP="00000000" w:rsidRDefault="00000000" w:rsidRPr="00000000" w14:paraId="0000003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03"/>
              </w:tabs>
              <w:spacing w:after="0" w:before="1"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Identificación y selección de los artículos</w:t>
            </w:r>
          </w:p>
          <w:p w:rsidR="00000000" w:rsidDel="00000000" w:rsidP="00000000" w:rsidRDefault="00000000" w:rsidRPr="00000000" w14:paraId="0000003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03"/>
              </w:tabs>
              <w:spacing w:after="0" w:before="27"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Evaluación de la calidad de los artículos</w:t>
            </w:r>
          </w:p>
          <w:p w:rsidR="00000000" w:rsidDel="00000000" w:rsidP="00000000" w:rsidRDefault="00000000" w:rsidRPr="00000000" w14:paraId="0000003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03"/>
              </w:tabs>
              <w:spacing w:after="0" w:before="27"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Extracción de datos y monitoreo del proceso</w:t>
            </w:r>
          </w:p>
          <w:p w:rsidR="00000000" w:rsidDel="00000000" w:rsidP="00000000" w:rsidRDefault="00000000" w:rsidRPr="00000000" w14:paraId="0000003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03"/>
              </w:tabs>
              <w:spacing w:after="0" w:before="27"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Síntesis de datos</w:t>
            </w:r>
          </w:p>
        </w:tc>
      </w:tr>
      <w:tr>
        <w:trPr>
          <w:cantSplit w:val="0"/>
          <w:trHeight w:val="640" w:hRule="atLeast"/>
          <w:tblHeader w:val="0"/>
        </w:trPr>
        <w:tc>
          <w:tcPr>
            <w:shd w:fill="f1f1f1" w:val="clea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1"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Reporte y diseminación</w:t>
            </w:r>
          </w:p>
        </w:tc>
        <w:tc>
          <w:tcPr>
            <w:shd w:fill="f1f1f1" w:val="clear"/>
          </w:tcPr>
          <w:p w:rsidR="00000000" w:rsidDel="00000000" w:rsidP="00000000" w:rsidRDefault="00000000" w:rsidRPr="00000000" w14:paraId="0000003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03"/>
              </w:tabs>
              <w:spacing w:after="0" w:before="1" w:line="276"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Análisis e interpretación</w:t>
            </w:r>
          </w:p>
          <w:p w:rsidR="00000000" w:rsidDel="00000000" w:rsidP="00000000" w:rsidRDefault="00000000" w:rsidRPr="00000000" w14:paraId="0000003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03"/>
                <w:tab w:val="left" w:leader="none" w:pos="1489"/>
              </w:tabs>
              <w:spacing w:after="0" w:before="28" w:line="276" w:lineRule="auto"/>
              <w:ind w:left="1064" w:right="0" w:hanging="3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Presentación de resultados y obtención de evidencias para la práctica</w:t>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80" w:line="240" w:lineRule="auto"/>
        <w:ind w:left="0"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Nota. Información tomada de "Hacia una metodología para el desarrollo de evidencia - conocimiento de gestión informada por medio de revisión sistemática". (Tranfield, Denyer y Smart, 2003), pág (214).</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80" w:line="240" w:lineRule="auto"/>
        <w:ind w:left="0"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80" w:line="240" w:lineRule="auto"/>
        <w:ind w:left="0" w:right="0" w:firstLine="72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45" w:line="360" w:lineRule="auto"/>
        <w:ind w:left="540" w:right="164" w:hanging="36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Preguntas de investigación.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punto de partida para la formulación de las preguntas según el análisis realizado por Duque, P. y Cervantes-Cervantes, L.S. (2019) en el estudio intitulado Responsabilidad Social Universitaria: una revisión sistemática y análisis bibliométrico.  A  partir  de  este  trabajo, se  identificaron  los  aportes  que  esta  investigación  podía  ofrecer  a  la  literatura ampliando  el  análisis  del enfoque de  la  RSU, que como lo indica el autor, es un  área  de  estudio  que es  relativamente  joven y que presenta un  crecimiento en  relación  con  el  número  de  publicaciones  en  los  últimos  años.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45" w:line="360" w:lineRule="auto"/>
        <w:ind w:left="1260" w:right="16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¿Cómo se define el concepto de Responsabilidad Social Universitaria?</w:t>
      </w:r>
    </w:p>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45" w:line="360" w:lineRule="auto"/>
        <w:ind w:left="1260" w:right="16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¿Cuáles son algunas prácticas de Responsabilidad Social Universitaria y cómo se manifiestan sus impactos en el entorno?</w:t>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45" w:line="360" w:lineRule="auto"/>
        <w:ind w:left="1260" w:right="16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¿Cuáles se consideran que son los desafíos más significativos asociados con la implementación de prácticas de Responsabilidad Social Universitaria y que estrategias se pueden emplear para abordarlos?</w:t>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145" w:line="360" w:lineRule="auto"/>
        <w:ind w:left="540" w:right="164" w:hanging="36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Estrategia de búsqueda</w:t>
        <w:tab/>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180" w:right="164"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la fase 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planeación,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identificó la necesidad de abordar la temática de prácticas universitarias socialmente responsables a nivel nacional e internacional. Seguidamente, se desarrolló un protocolo que guio la búsqueda de artículos y la identificación de literatura caso de estudio: se seleccionó la base de datos Scopus debido a su capacidad para indexar fuentes académicas, incluir literatura gris, revistas y patentes, abarcando diversas disciplinas, especialmente en Ciencias Sociales y Humanas. La búsqueda inicial se realizó en un rango de [2019- 2023]; esto con el fin de que la información estuviera actualizada. La ecuación de búsqueda se formuló a partir de términos clave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“Responsabilidad social, universidad, práctica educativa, academia, docencia,                                                                    compromiso social, acción”,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incluyeron las expresiones booleanas “AND” y “OR”. Generándose 117 documentos.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180" w:right="164" w:firstLine="360"/>
        <w:jc w:val="both"/>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Tabla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Ecuación de búsqueda</w:t>
      </w:r>
      <w:r w:rsidDel="00000000" w:rsidR="00000000" w:rsidRPr="00000000">
        <w:rPr>
          <w:rtl w:val="0"/>
        </w:rPr>
      </w:r>
    </w:p>
    <w:tbl>
      <w:tblPr>
        <w:tblStyle w:val="Table2"/>
        <w:tblW w:w="9034.0" w:type="dxa"/>
        <w:jc w:val="left"/>
        <w:tblInd w:w="227.0" w:type="dxa"/>
        <w:tblLayout w:type="fixed"/>
        <w:tblLook w:val="0000"/>
      </w:tblPr>
      <w:tblGrid>
        <w:gridCol w:w="9034"/>
        <w:tblGridChange w:id="0">
          <w:tblGrid>
            <w:gridCol w:w="9034"/>
          </w:tblGrid>
        </w:tblGridChange>
      </w:tblGrid>
      <w:tr>
        <w:trPr>
          <w:cantSplit w:val="0"/>
          <w:trHeight w:val="303" w:hRule="atLeast"/>
          <w:tblHeader w:val="0"/>
        </w:trPr>
        <w:tc>
          <w:tcPr>
            <w:tcBorders>
              <w:bottom w:color="7e7e7e" w:space="0" w:sz="4"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6" w:lineRule="auto"/>
              <w:ind w:left="0" w:right="0" w:firstLine="720"/>
              <w:jc w:val="center"/>
              <w:rPr>
                <w:rFonts w:ascii="Helvetica Neue" w:cs="Helvetica Neue" w:eastAsia="Helvetica Neue" w:hAnsi="Helvetica Neue"/>
                <w:b w:val="1"/>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1"/>
                <w:i w:val="0"/>
                <w:smallCaps w:val="0"/>
                <w:strike w:val="0"/>
                <w:color w:val="000000"/>
                <w:sz w:val="20"/>
                <w:szCs w:val="20"/>
                <w:u w:val="none"/>
                <w:shd w:fill="auto" w:val="clear"/>
                <w:vertAlign w:val="baseline"/>
                <w:rtl w:val="0"/>
              </w:rPr>
              <w:t xml:space="preserve">ECUACIÓN DE BÚSQUEDA</w:t>
            </w:r>
          </w:p>
        </w:tc>
      </w:tr>
      <w:tr>
        <w:trPr>
          <w:cantSplit w:val="0"/>
          <w:trHeight w:val="930" w:hRule="atLeast"/>
          <w:tblHeader w:val="0"/>
        </w:trPr>
        <w:tc>
          <w:tcPr>
            <w:tcBorders>
              <w:top w:color="7e7e7e" w:space="0" w:sz="4" w:val="single"/>
            </w:tcBorders>
            <w:shd w:fill="bfbfbf"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6" w:lineRule="auto"/>
              <w:ind w:left="0" w:right="0" w:firstLine="720"/>
              <w:jc w:val="both"/>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TITLE-ABS-KEY (social AND responsibility OR social AND commitment AND education OR teaching AND university OR academy AND practice OR action) AND (LIMIT-TO ( LANGUAGE , "English" ) OR LIMIT-TO ( LANGUAGE , "Spanish" ) ) AND ( LIMIT-TO ( DOCTYPE , "ar" ) OR LIMIT-TO ( DOCTYPE , "ch" ) OR LIMIT-TO ( DOCTYPE , "bk" ) ) AND ( LIMIT-TO ( OA , "all" ) )</w:t>
            </w:r>
          </w:p>
        </w:tc>
      </w:tr>
    </w:tb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180" w:right="164"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Fuente: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Elaboración propia</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48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Seguidamente, en la fase 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ejecución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analizaron los 117 documentos indexados a una hoja de cálculo, archivo que se puede revisar en el Apéndice A, descartándose artículos y libros por cuanto no aportaban significativamente en el proceso. Se procedió a una lectura integral de cada uno        de los 63 documentos seleccionados. Después, se ejecutó un proceso de síntesis con el fin de cumplir este objetivo, como se encuentra adjunto en el Apéndice A.</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48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último para la fase de reporte y diseminación  se evidencia los resultados, que consta de un análisis de tendencias existentes en la literatura cientifica frente a prácticas de Responsabilidad Social Universitaria a nivel nacional e internacional.</w:t>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45" w:line="360" w:lineRule="auto"/>
        <w:ind w:left="53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Resultados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890" w:right="16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¿Cómo se define el concepto de Responsabilidad Social Universitaria?</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la Responsabilidad Social (RS) se originó en el ámbito empresarial, actualmente es aplicada a cualquier tipo de organización. Las universidades están incluidas en la lista a incorporarla, debido a que deben establecer relaciones con la sociedad para consolidar su rol como formadora de futuros profesionales, con valores y principios éticos, socialmente responsables y comprometidos. La RSU forma parte de la esencia del servicio que este tipo de instituciones ofrece a países y sociedades (Salcedo, V 2023), por cuanto se constituye en una prioridad fundamental para las IES siendo el punto de partida clave en el desarrollo de sus procesos académicos y administrativos e impulsando una visión más amplia de su rol en la sociedad y promoviendo un impacto positivo en su entorno.</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actualidad, existe una amplia literatura que abarca el concepto de Responsabilidad Social Universitaria. Esta engloba una diversidad de enfoques, perspectivas y estudios que exploran y analizan diversos aspectos, para Vallaeys, F (2019) es una nueva política de gestión universitaria que redefine la tradicional extensión y proyección social solidaria, introduciendo un enfoque global de cuidado de los impactos administrativos y académicos en todos los procesos de la universidad, exigiendo ser asumida por todos los miembros de la universidad transversalmente en sus actividades, por cuanto es imprescindible que ellos entiendan de qué se trata y estén dispuestos a la corresponsabilidad en sus funciones laborales rutinarias. Por otra parte, es considerada, incluso como un derecho y una obligación, el interactuar con la sociedad y devolver la inversión realizada Moral, A (2021).</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este marco conceptual, la RSU debe centrarse no sólo en la misión universitaria y buenas prácticas, si no también sobre el modelo de gestión, la planificación estratégica, los indicadores de desempeño y evaluación del progreso institucional, Vallaeys, F (2022). E implica un compromiso con los individuos, las organizaciones y la sociedad en general, convirtiéndose en una estrategia para ofrecer una imagen positiva ante la colectividad, logrando con ello ser fortaleza y brindar posibles ventajas competitivas dentro del mercado. Así mismo, es necesaria para legitimar la educación superior como “institución” y los conocimientos que se transmiten a los estudiantes universitarios.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Según los artículos, “Responsabilidad social: voluntariado universitario y comportamiento virtuoso. El caso de una ciudad en Perú”</w:t>
      </w: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Sarmiento-Peralta G, 2021)  y “La RSU como contenido Curricular” (Palomino, M, 2022) surge como tendencia la creciente importancia de adoptar este enfoque de RS en las organizaciones, que asuman un papel activo y decisivo en la búsqueda de soluciones a desafíos globales, contribuyendo al avance de la sociedad hacia metas sostenibles y equitativas. Aun así, el informe de 2019 sobre los Objetivos de Desarrollo Sostenible indica que, a pesar de los avances logrados, el progreso en áreas cruciales que demandan una atención colectiva urgente, como la preservación del medio ambiente, la erradicación del sufrimiento humano y la creación de oportunidades equitativas para todos avanza a un ritmo insuficiente. En consecuencia, se requiere una respuesta más amplia, rápida y ambiciosa, especialmente desde ámbitos que han demostrado ser efectivos, como la ciencia, la innovación y con un enfoque más marcado en la transformación digital. Palomino, M. (2022).</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tendencia se refleja en el crecimiento de iniciativas y programas de RSU a nivel mundial, asimismo en la inclusión de la responsabilidad social en los lineamientos institucionales (misión, visión, valores) y como un criterio importante en la evaluación y acreditación de las IES.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la mayoría de los documentos de habla hispana, específicamente de Latinoamérica, los autores toman de referente a François Vallaeys, quien es uno de los más destacados en el tema teniendo en cuenta que este debate lleve más de 10 años, su trayectoria en cuanto a la investigación del tópico de RSU ha permitido un acercamiento a su concepto.</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45" w:line="360" w:lineRule="auto"/>
        <w:ind w:left="1260" w:right="16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¿Cuáles son algunas prácticas de Responsabilidad Social Universitaria y cómo se manifiestan sus impactos en el entorno?</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63 artículos analizados destacan prácticas de Responsabilidad Social Universitaria (RSU) que influyen tanto directa como indirectamente en la gestión universitaria. Este fenómeno se inscribe en un contexto de transformación significativa de las instituciones de educación superior (IES) a nivel global desde el siglo XIX, impulsado por la evolución tecnológica, la rendición de cuentas a la sociedad y la participación activa en redes internacionales. En este nuevo paradigma, las universidades ya no pueden concebirse de manera limitada territorialmente, sino que se presentan como entidades dinámicas y abiertas, participando en diversas esferas sociales, culturales y productivas.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RSU se manifiesta como una práctica que va más allá de simples interacciones parciales con la sociedad; su éxito de implementación está intrínsecamente ligado al contexto específico de desarrollo y a las condiciones del entorno organizacional. Las universidades desempeñan un papel invaluable y necesario en un entorno organizacional dinámico y competitivo, y su contribución como instituciones socialmente responsables es cada vez más relevante.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Este cambio de perspectiva hacia prácticas más abiertas e integradoras implica la adopción de iniciativas de RSU, las cuales se destacan en universidades de renombre como las chilenas, británicas y españolas. Estas prácticas buscan impactar en diferentes dimensiones, como la educativa, cognoscitiva y epistemológica, social, organizacional y ambiental. La RSU, además, exige una apertura a la innovación pedagógica y científica, interdisciplinariedad, cooperación interinstitucional y trabajo en red.</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revisión sistemática permitió identificar prácticas e iniciativas específicas que cumplen con los objetivos de la investigación, evidenciando la diversidad de enfoques y el alcance global de la RSU (Ver Apéndice A). Sin embargo, es crucial reconocer que, a pesar de su constante mención en discursos académicos, la implementación efectiva de la RSU en las universidades aún enfrenta desafíos significativos. La brecha entre la retórica y las acciones concretas resalta barreras ideológicas, políticas, económicas y estratégicas dentro de estas instituciones.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general, la RSU se presenta como una respuesta a las demandas actuales de una sociedad informada y exigente. Las prácticas identificadas demuestran el compromiso creciente del sector educativo con la justicia social, económica y ambiental. Sin embargo, la implementación efectiva de la RSU requiere superar desafíos y tensiones específicos, aprovechando la capacidad de las universidades para desencadenar un cambio sostenible a través de la investigación científica y programas educativos. La RSU se erige como una herramienta crucial para formar ciudadanos responsables y comprometidos, contribuyendo al desarrollo de sociedades más sostenibles, democráticas e inclusivas.</w:t>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45" w:line="360" w:lineRule="auto"/>
        <w:ind w:left="1260" w:right="16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¿Cuáles se consideran que son los desafíos y estrategias</w:t>
      </w: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la implementación de prácticas de Responsabilidad Social Universitaria?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desafíos de la educación superior deben responder a nuevas demandas de una sociedad cada vez más informada y exigente, lo que instala diversos retos y tensiones (Romero-Argueta et al., 2020). En este contexto, en la era de la globalización, un vínculo estrecho entre la universidad y la industria con un compromiso hacia la comunidad y la responsabilidad social es un motor importante para crear oportunidades a largo plazo para el desarrollo sostenible, está es esencial y necesita una planificación adecuada para una implementación efectiva, </w:t>
      </w:r>
      <w:r w:rsidDel="00000000" w:rsidR="00000000" w:rsidRPr="00000000">
        <w:rPr>
          <w:rFonts w:ascii="Times New Roman" w:cs="Times New Roman" w:eastAsia="Times New Roman" w:hAnsi="Times New Roman"/>
          <w:sz w:val="24"/>
          <w:szCs w:val="24"/>
          <w:rtl w:val="0"/>
        </w:rPr>
        <w:t xml:space="preserve">convirtiéndose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una estrategía clave a un mundo en constante avance. Ortega, J. M., Diaz, E. M., &amp; Cámra, A. M. (2021).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embargo, a pesar de su constante mención en discursos académicos, la responsabilidad social en las universidades no ha logrado transformarlas completamente. Se evidencia una brecha entre la retórica y las acciones concretas, ya que esta perspectiva no ha logrado superar barreras ideológicas, políticas, económicas y estratégicas dentro de estas instituciones (Vallaeys, 2018). En este contexto, maximizar la misión de la Responsabilidad Social se vuelve crucial, requiriendo prácticas docentes innovadoras y de alta calidad que beneficien a la sociedad en su conjunto. Es esencial que las universidades asuman como un objetivo prioritario la integración de este desafío en su quehacer futuro.</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164"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maximizar la misión de la responsabilidad social, se plantea el desafío de proporcionar prácticas docentes innovadoras y de alta calidad que impacten positivamente en la sociedad. La formación de futuros docentes en RS y la promoción de comportamientos éticos y compromisos sociales contribuyen a la "justicia social" y el "bienestar" de los ciudadanos. La RS debe integrarse como parte fundamental de la formación universitaria, siendo un indicador de mejora de la calidad del desempeño educativo y una herramienta de competencia para los futuros docentes.</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Asimismo, la formación de estudiantes universitarios también debe centrarse en el desarrollo de competencias integrales que iluminen a la sociedad a través de decisiones éticas y profesionales. Educar a los ciudadanos sobre la sostenibilidad, la justicia social, el activismo y la participación política es esencial. Sin embargo, las investigaciones señalan una falta de coherencia en la formación de estudiantes universitarios en estos temas.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concomitancia a lo anterior, la sostenibilidad ha ido adquiriendo gradualmente importancia en la educación superior, evidenciando su carácter transversal, que influye en diversas áreas como la movilidad, la excelencia, la calidad, la docencia y la investigación.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Conclusiones</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través del análisis exhaustivo en la base de datos Scopus, se ha identificado un fenómeno revelador: la creciente adopción de la Responsabilidad Social Universitaria (RSU) por parte de instituciones educativas, esto, años después de  la  publicación  del  documento  más  referenciado  en  este area  “Responsabilidad Social Universitaria, Manual  de  primeros pasos ” Vallaeys 2009.</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destaca que España, es el país que lidera en publicaciones en este campo, seguido por Suiza, Reino Unido, Países Bajos y Brasil. Esta distribución geográfica evidencia un interés global en la temática, con una notable representación de diferentes regiones del mundo, subrayando la relevancia y diversidad de perspectivas en el abordaje de la RSU.</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202124"/>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202124"/>
          <w:sz w:val="24"/>
          <w:szCs w:val="24"/>
          <w:highlight w:val="white"/>
          <w:u w:val="none"/>
          <w:vertAlign w:val="baseline"/>
          <w:rtl w:val="0"/>
        </w:rPr>
        <w:t xml:space="preserve">Las prácticas de RSU identificadas abordan aspectos cruciales de la gestión universitaria, impactando tanto en los procesos académicos como administrativos. No se limita a interacciones parciales con la sociedad; su éxito depende del contexto específico y las condiciones del entorno organizacional. La brecha entre la retórica y las acciones concretas señala desafíos ideológicos, políticos, económicos y estratégicos que las universidades deben superar para implementar efectivamente la RSU.</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45" w:line="360" w:lineRule="auto"/>
        <w:ind w:left="0" w:right="0" w:firstLine="720"/>
        <w:jc w:val="both"/>
        <w:rPr>
          <w:rFonts w:ascii="Times New Roman" w:cs="Times New Roman" w:eastAsia="Times New Roman" w:hAnsi="Times New Roman"/>
          <w:b w:val="0"/>
          <w:i w:val="0"/>
          <w:smallCaps w:val="0"/>
          <w:strike w:val="0"/>
          <w:color w:val="202124"/>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202124"/>
          <w:sz w:val="24"/>
          <w:szCs w:val="24"/>
          <w:highlight w:val="white"/>
          <w:u w:val="none"/>
          <w:vertAlign w:val="baseline"/>
          <w:rtl w:val="0"/>
        </w:rPr>
        <w:t xml:space="preserve">Es importante reconocer las limitaciones inherentes en la revisión presentada en este artículo, como es común en cualquier investigación. En primer lugar, la búsqueda inicial se circunscribió a la base de datos Scopus, lo cual implica que las investigaciones no indexadas en esta base quedaron excluidas del alcance del estudio. En segundo lugar, la selección de términos clave en la búsqueda podría tener limitaciones, dado que podría resultar la exclusión de un conjunto más amplio de palabras relacionadas con la Responsabilidad Social Universitaria. Estas consideraciones resaltan la necesidad de abordar estas limitaciones en futuras investigaciones y de explorar estrategias adicionales para obtener una comprensión más completa del panorama en este campo específico.</w:t>
      </w:r>
    </w:p>
    <w:p w:rsidR="00000000" w:rsidDel="00000000" w:rsidP="00000000" w:rsidRDefault="00000000" w:rsidRPr="00000000" w14:paraId="00000068">
      <w:pPr>
        <w:pStyle w:val="Heading1"/>
        <w:spacing w:line="360" w:lineRule="auto"/>
        <w:ind w:left="0" w:firstLine="0"/>
        <w:rPr>
          <w:rFonts w:ascii="Times New Roman" w:cs="Times New Roman" w:eastAsia="Times New Roman" w:hAnsi="Times New Roman"/>
          <w:color w:val="202124"/>
          <w:sz w:val="24"/>
          <w:szCs w:val="24"/>
          <w:highlight w:val="white"/>
        </w:rPr>
      </w:pPr>
      <w:r w:rsidDel="00000000" w:rsidR="00000000" w:rsidRPr="00000000">
        <w:rPr>
          <w:rFonts w:ascii="Times New Roman" w:cs="Times New Roman" w:eastAsia="Times New Roman" w:hAnsi="Times New Roman"/>
          <w:color w:val="202124"/>
          <w:sz w:val="24"/>
          <w:szCs w:val="24"/>
          <w:highlight w:val="white"/>
          <w:rtl w:val="0"/>
        </w:rPr>
        <w:t xml:space="preserve">Conflicto de intereses</w:t>
      </w:r>
    </w:p>
    <w:p w:rsidR="00000000" w:rsidDel="00000000" w:rsidP="00000000" w:rsidRDefault="00000000" w:rsidRPr="00000000" w14:paraId="00000069">
      <w:pPr>
        <w:pStyle w:val="Heading1"/>
        <w:tabs>
          <w:tab w:val="left" w:leader="none" w:pos="142"/>
        </w:tabs>
        <w:spacing w:before="250" w:line="360" w:lineRule="auto"/>
        <w:ind w:left="0" w:firstLine="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color w:val="202124"/>
          <w:sz w:val="24"/>
          <w:szCs w:val="24"/>
          <w:highlight w:val="white"/>
          <w:rtl w:val="0"/>
        </w:rPr>
        <w:t xml:space="preserve">Los autores declaran que no tienen conflicto de intereses</w:t>
      </w:r>
      <w:r w:rsidDel="00000000" w:rsidR="00000000" w:rsidRPr="00000000">
        <w:rPr>
          <w:rFonts w:ascii="Times New Roman" w:cs="Times New Roman" w:eastAsia="Times New Roman" w:hAnsi="Times New Roman"/>
          <w:b w:val="0"/>
          <w:sz w:val="24"/>
          <w:szCs w:val="24"/>
          <w:rtl w:val="0"/>
        </w:rPr>
        <w:t xml:space="preserve">. </w:t>
      </w:r>
    </w:p>
    <w:p w:rsidR="00000000" w:rsidDel="00000000" w:rsidP="00000000" w:rsidRDefault="00000000" w:rsidRPr="00000000" w14:paraId="0000006A">
      <w:pPr>
        <w:pStyle w:val="Heading1"/>
        <w:tabs>
          <w:tab w:val="left" w:leader="none" w:pos="142"/>
        </w:tabs>
        <w:spacing w:before="250" w:line="360" w:lineRule="auto"/>
        <w:ind w:left="0" w:firstLine="0"/>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6B">
      <w:pPr>
        <w:pStyle w:val="Heading1"/>
        <w:tabs>
          <w:tab w:val="left" w:leader="none" w:pos="142"/>
        </w:tabs>
        <w:spacing w:before="250" w:line="360" w:lineRule="auto"/>
        <w:ind w:left="0" w:firstLine="0"/>
        <w:rPr>
          <w:rFonts w:ascii="Times New Roman" w:cs="Times New Roman" w:eastAsia="Times New Roman" w:hAnsi="Times New Roman"/>
          <w:b w:val="0"/>
          <w:sz w:val="24"/>
          <w:szCs w:val="24"/>
        </w:rPr>
      </w:pPr>
      <w:r w:rsidDel="00000000" w:rsidR="00000000" w:rsidRPr="00000000">
        <w:rPr>
          <w:rtl w:val="0"/>
        </w:rPr>
      </w:r>
    </w:p>
    <w:bookmarkStart w:colFirst="0" w:colLast="0" w:name="bookmark=id.tyjcwt" w:id="5"/>
    <w:bookmarkEnd w:id="5"/>
    <w:p w:rsidR="00000000" w:rsidDel="00000000" w:rsidP="00000000" w:rsidRDefault="00000000" w:rsidRPr="00000000" w14:paraId="0000006C">
      <w:pPr>
        <w:pStyle w:val="Heading1"/>
        <w:spacing w:line="360" w:lineRule="auto"/>
        <w:ind w:left="0" w:firstLine="0"/>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6D">
      <w:pPr>
        <w:pStyle w:val="Heading1"/>
        <w:spacing w:line="360" w:lineRule="auto"/>
        <w:ind w:left="0" w:firstLine="0"/>
        <w:jc w:val="center"/>
        <w:rPr>
          <w:rFonts w:ascii="Times New Roman" w:cs="Times New Roman" w:eastAsia="Times New Roman" w:hAnsi="Times New Roman"/>
          <w:sz w:val="24"/>
          <w:szCs w:val="24"/>
        </w:rPr>
        <w:sectPr>
          <w:type w:val="continuous"/>
          <w:pgSz w:h="15840" w:w="12240" w:orient="portrait"/>
          <w:pgMar w:bottom="1701" w:top="1701" w:left="1701" w:right="1701" w:header="720" w:footer="720"/>
        </w:sectPr>
      </w:pPr>
      <w:bookmarkStart w:colFirst="0" w:colLast="0" w:name="_heading=h.3dy6vkm" w:id="6"/>
      <w:bookmarkEnd w:id="6"/>
      <w:r w:rsidDel="00000000" w:rsidR="00000000" w:rsidRPr="00000000">
        <w:rPr>
          <w:rFonts w:ascii="Times New Roman" w:cs="Times New Roman" w:eastAsia="Times New Roman" w:hAnsi="Times New Roman"/>
          <w:sz w:val="24"/>
          <w:szCs w:val="24"/>
          <w:rtl w:val="0"/>
        </w:rPr>
        <w:t xml:space="preserve">Referencias</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3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5840" w:w="12240" w:orient="portrait"/>
          <w:pgMar w:bottom="1440" w:top="1440" w:left="1440" w:right="1440" w:header="720" w:footer="720"/>
        </w:sectPr>
      </w:pPr>
      <w:bookmarkStart w:colFirst="0" w:colLast="0" w:name="_heading=h.1t3h5sf" w:id="7"/>
      <w:bookmarkEnd w:id="7"/>
      <w:r w:rsidDel="00000000" w:rsidR="00000000" w:rsidRPr="00000000">
        <w:rPr>
          <w:rtl w:val="0"/>
        </w:rPr>
      </w:r>
    </w:p>
    <w:p w:rsidR="00000000" w:rsidDel="00000000" w:rsidP="00000000" w:rsidRDefault="00000000" w:rsidRPr="00000000" w14:paraId="0000006F">
      <w:pPr>
        <w:pStyle w:val="Heading1"/>
        <w:spacing w:before="0" w:line="360" w:lineRule="auto"/>
        <w:ind w:left="720" w:hanging="72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A.J. Castro, L. Zanello, J. Lizcano and A. Daza, "USR as a Tool for Meeting the SDGs: A Systematic Review," in IEEE Revista Iberoamericana de Tecnologias del Aprendizaje, vol. 17, no. 1, pp. 48-55, Feb. 2022, doi: 10.1109/RITA.2022.3149982.</w:t>
      </w:r>
    </w:p>
    <w:p w:rsidR="00000000" w:rsidDel="00000000" w:rsidP="00000000" w:rsidRDefault="00000000" w:rsidRPr="00000000" w14:paraId="00000070">
      <w:pPr>
        <w:shd w:fill="ffffff" w:val="clea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Amaro, A., Soriano, A., Martínez, N. y González, G. (2021). Inclusión social y laboral de la mujer gitana. El aprendiza-je-servicio como apuesta por la innovación educativa. Revista Internacional de Educación para la Justicia Social, 10(2), 119-134. </w:t>
      </w:r>
      <w:hyperlink r:id="rId31">
        <w:r w:rsidDel="00000000" w:rsidR="00000000" w:rsidRPr="00000000">
          <w:rPr>
            <w:rFonts w:ascii="Times New Roman" w:cs="Times New Roman" w:eastAsia="Times New Roman" w:hAnsi="Times New Roman"/>
            <w:color w:val="000000"/>
            <w:sz w:val="24"/>
            <w:szCs w:val="24"/>
            <w:u w:val="single"/>
            <w:rtl w:val="0"/>
          </w:rPr>
          <w:t xml:space="preserve">https://doi.org/10.15366/riejs2021.10.2.008</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1">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Andía Valencia, W. (2015). La responsabilidad social: análisis del enfoque de ISO 26000. Industrial Data, 18(2), 55–60. </w:t>
      </w:r>
      <w:hyperlink r:id="rId32">
        <w:r w:rsidDel="00000000" w:rsidR="00000000" w:rsidRPr="00000000">
          <w:rPr>
            <w:rFonts w:ascii="Times New Roman" w:cs="Times New Roman" w:eastAsia="Times New Roman" w:hAnsi="Times New Roman"/>
            <w:color w:val="000000"/>
            <w:sz w:val="24"/>
            <w:szCs w:val="24"/>
            <w:u w:val="single"/>
            <w:rtl w:val="0"/>
          </w:rPr>
          <w:t xml:space="preserve">https://doi.org/10.15381/idata.v18i2.12097</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2">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Araque, J., Guerrero, G., &amp; Uribe, L. (2015). Contexto de la universidad de Cundinamarca De responsabilidad social universitaria. </w:t>
      </w:r>
      <w:hyperlink r:id="rId33">
        <w:r w:rsidDel="00000000" w:rsidR="00000000" w:rsidRPr="00000000">
          <w:rPr>
            <w:rFonts w:ascii="Times New Roman" w:cs="Times New Roman" w:eastAsia="Times New Roman" w:hAnsi="Times New Roman"/>
            <w:color w:val="000000"/>
            <w:sz w:val="24"/>
            <w:szCs w:val="24"/>
            <w:u w:val="single"/>
            <w:rtl w:val="0"/>
          </w:rPr>
          <w:t xml:space="preserve">https://repositorio.ucundinamarca.edu.co/handle/20.500.12558/1531</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3">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Argandoña, A., &amp; Isea Silva, R. (2011). ISO 26000, Una guía para la responsabilidad social de las organizaciones. Cuadernos de la Cátedra “la Caixa” de Responsabilidad Social de la Empresa y Gobierno Corporativo.              </w:t>
      </w:r>
      <w:hyperlink r:id="rId34">
        <w:r w:rsidDel="00000000" w:rsidR="00000000" w:rsidRPr="00000000">
          <w:rPr>
            <w:rFonts w:ascii="Times New Roman" w:cs="Times New Roman" w:eastAsia="Times New Roman" w:hAnsi="Times New Roman"/>
            <w:color w:val="000000"/>
            <w:sz w:val="24"/>
            <w:szCs w:val="24"/>
            <w:u w:val="single"/>
            <w:rtl w:val="0"/>
          </w:rPr>
          <w:t xml:space="preserve">https://media.iese.edu/research/pdfs/ST-0320.pdf</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4">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assessment literature: an expanding and shifting focus, Chemical Engineering Transactions, 67, 493-498 DOI: 10.3303/CET1867083  </w:t>
      </w:r>
    </w:p>
    <w:p w:rsidR="00000000" w:rsidDel="00000000" w:rsidP="00000000" w:rsidRDefault="00000000" w:rsidRPr="00000000" w14:paraId="00000075">
      <w:pPr>
        <w:pStyle w:val="Heading1"/>
        <w:spacing w:before="0" w:line="360" w:lineRule="auto"/>
        <w:ind w:left="720" w:hanging="72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Cañedo Andalia, R., Rodríguez Labrada, R., &amp; Montejo  Castells, M.  (2010). Scopus: la mayor base de datos de literatura científica arbitrada al alcance de los países subdesarrollados. Revista Cubana de Información en Ciencias de la Salud, 21(3), 270-282.  </w:t>
      </w:r>
    </w:p>
    <w:p w:rsidR="00000000" w:rsidDel="00000000" w:rsidP="00000000" w:rsidRDefault="00000000" w:rsidRPr="00000000" w14:paraId="00000076">
      <w:pPr>
        <w:spacing w:line="360" w:lineRule="auto"/>
        <w:ind w:left="720" w:hanging="720"/>
        <w:rPr>
          <w:rFonts w:ascii="Times New Roman" w:cs="Times New Roman" w:eastAsia="Times New Roman" w:hAnsi="Times New Roman"/>
          <w:sz w:val="24"/>
          <w:szCs w:val="24"/>
        </w:rPr>
      </w:pPr>
      <w:bookmarkStart w:colFirst="0" w:colLast="0" w:name="_heading=h.4d34og8" w:id="8"/>
      <w:bookmarkEnd w:id="8"/>
      <w:r w:rsidDel="00000000" w:rsidR="00000000" w:rsidRPr="00000000">
        <w:rPr>
          <w:rFonts w:ascii="Times New Roman" w:cs="Times New Roman" w:eastAsia="Times New Roman" w:hAnsi="Times New Roman"/>
          <w:sz w:val="24"/>
          <w:szCs w:val="24"/>
          <w:rtl w:val="0"/>
        </w:rPr>
        <w:t xml:space="preserve">Cano-Lara, E. D., &amp; Vélez-Romero, X. A. (2016). Los diferentes tipos de responsabilidad social y sus implicaciones éticas. Dominio De Las Ciencias, 2(3 Especial). </w:t>
      </w:r>
      <w:hyperlink r:id="rId35">
        <w:r w:rsidDel="00000000" w:rsidR="00000000" w:rsidRPr="00000000">
          <w:rPr>
            <w:rFonts w:ascii="Times New Roman" w:cs="Times New Roman" w:eastAsia="Times New Roman" w:hAnsi="Times New Roman"/>
            <w:color w:val="000000"/>
            <w:sz w:val="24"/>
            <w:szCs w:val="24"/>
            <w:u w:val="single"/>
            <w:rtl w:val="0"/>
          </w:rPr>
          <w:t xml:space="preserve">https://dominiodelasciencias.com/ojs/index.php/es/article/view/297/pdf</w:t>
        </w:r>
      </w:hyperlink>
      <w:r w:rsidDel="00000000" w:rsidR="00000000" w:rsidRPr="00000000">
        <w:rPr>
          <w:rtl w:val="0"/>
        </w:rPr>
      </w:r>
    </w:p>
    <w:p w:rsidR="00000000" w:rsidDel="00000000" w:rsidP="00000000" w:rsidRDefault="00000000" w:rsidRPr="00000000" w14:paraId="00000077">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Castillo, A (2021) </w:t>
      </w:r>
      <w:r w:rsidDel="00000000" w:rsidR="00000000" w:rsidRPr="00000000">
        <w:rPr>
          <w:rFonts w:ascii="Times New Roman" w:cs="Times New Roman" w:eastAsia="Times New Roman" w:hAnsi="Times New Roman"/>
          <w:sz w:val="24"/>
          <w:szCs w:val="24"/>
          <w:highlight w:val="white"/>
          <w:rtl w:val="0"/>
        </w:rPr>
        <w:t xml:space="preserve">DOI:</w:t>
      </w:r>
      <w:hyperlink r:id="rId36">
        <w:r w:rsidDel="00000000" w:rsidR="00000000" w:rsidRPr="00000000">
          <w:rPr>
            <w:rFonts w:ascii="Times New Roman" w:cs="Times New Roman" w:eastAsia="Times New Roman" w:hAnsi="Times New Roman"/>
            <w:color w:val="000000"/>
            <w:sz w:val="24"/>
            <w:szCs w:val="24"/>
            <w:highlight w:val="white"/>
            <w:u w:val="single"/>
            <w:rtl w:val="0"/>
          </w:rPr>
          <w:t xml:space="preserve">10.1016/j.heliyon.2021.e06450</w:t>
        </w:r>
      </w:hyperlink>
      <w:r w:rsidDel="00000000" w:rsidR="00000000" w:rsidRPr="00000000">
        <w:rPr>
          <w:rFonts w:ascii="Times New Roman" w:cs="Times New Roman" w:eastAsia="Times New Roman" w:hAnsi="Times New Roman"/>
          <w:sz w:val="24"/>
          <w:szCs w:val="24"/>
          <w:rtl w:val="0"/>
        </w:rPr>
        <w:t xml:space="preserve"> FALTA</w:t>
      </w:r>
    </w:p>
    <w:p w:rsidR="00000000" w:rsidDel="00000000" w:rsidP="00000000" w:rsidRDefault="00000000" w:rsidRPr="00000000" w14:paraId="00000078">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Coba Salcedo M.F., Valencia-Ochoa G., Acevedo Penaloza C.H., 2018, A bibliometric analysis environmental impact</w:t>
      </w:r>
    </w:p>
    <w:p w:rsidR="00000000" w:rsidDel="00000000" w:rsidP="00000000" w:rsidRDefault="00000000" w:rsidRPr="00000000" w14:paraId="00000079">
      <w:pPr>
        <w:pStyle w:val="Heading1"/>
        <w:spacing w:before="0" w:line="360" w:lineRule="auto"/>
        <w:ind w:left="720" w:hanging="72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Comisión de las Comunidades Europeas (2001). Comunicación de la comisión: Relativa a la responsabilidad social de las empresas: una contribución empresarial al desarrollo sostenible Libro Verde. Bruselas. Comisión Europea.</w:t>
      </w:r>
      <w:r w:rsidDel="00000000" w:rsidR="00000000" w:rsidRPr="00000000">
        <w:rPr>
          <w:rFonts w:ascii="Times New Roman" w:cs="Times New Roman" w:eastAsia="Times New Roman" w:hAnsi="Times New Roman"/>
          <w:sz w:val="24"/>
          <w:szCs w:val="24"/>
          <w:rtl w:val="0"/>
        </w:rPr>
        <w:t xml:space="preserve"> </w:t>
      </w:r>
      <w:hyperlink r:id="rId37">
        <w:r w:rsidDel="00000000" w:rsidR="00000000" w:rsidRPr="00000000">
          <w:rPr>
            <w:rFonts w:ascii="Times New Roman" w:cs="Times New Roman" w:eastAsia="Times New Roman" w:hAnsi="Times New Roman"/>
            <w:b w:val="0"/>
            <w:color w:val="000000"/>
            <w:sz w:val="24"/>
            <w:szCs w:val="24"/>
            <w:u w:val="single"/>
            <w:rtl w:val="0"/>
          </w:rPr>
          <w:t xml:space="preserve">https://www.europarl.europa.eu/meetdocs/committees/empl/20021111/com(2002)347_ES.pdf</w:t>
        </w:r>
      </w:hyperlink>
      <w:r w:rsidDel="00000000" w:rsidR="00000000" w:rsidRPr="00000000">
        <w:rPr>
          <w:rFonts w:ascii="Times New Roman" w:cs="Times New Roman" w:eastAsia="Times New Roman" w:hAnsi="Times New Roman"/>
          <w:b w:val="0"/>
          <w:sz w:val="24"/>
          <w:szCs w:val="24"/>
          <w:rtl w:val="0"/>
        </w:rPr>
        <w:t xml:space="preserve"> </w:t>
      </w:r>
    </w:p>
    <w:p w:rsidR="00000000" w:rsidDel="00000000" w:rsidP="00000000" w:rsidRDefault="00000000" w:rsidRPr="00000000" w14:paraId="0000007A">
      <w:pPr>
        <w:spacing w:before="5" w:line="360" w:lineRule="auto"/>
        <w:ind w:left="720" w:right="34" w:hanging="720"/>
        <w:rPr>
          <w:rFonts w:ascii="Times New Roman" w:cs="Times New Roman" w:eastAsia="Times New Roman" w:hAnsi="Times New Roman"/>
          <w:b w:val="1"/>
          <w:sz w:val="24"/>
          <w:szCs w:val="24"/>
        </w:rPr>
      </w:pPr>
      <w:bookmarkStart w:colFirst="0" w:colLast="0" w:name="_heading=h.2s8eyo1" w:id="9"/>
      <w:bookmarkEnd w:id="9"/>
      <w:r w:rsidDel="00000000" w:rsidR="00000000" w:rsidRPr="00000000">
        <w:rPr>
          <w:rFonts w:ascii="Times New Roman" w:cs="Times New Roman" w:eastAsia="Times New Roman" w:hAnsi="Times New Roman"/>
          <w:sz w:val="24"/>
          <w:szCs w:val="24"/>
          <w:rtl w:val="0"/>
        </w:rPr>
        <w:t xml:space="preserve"> Cyfert, S., Glabiszewski, W. y Zastempowski, M. (2021). Impacto de las herramientas de gestión que apoyan a la industria 4.s0 sobre la importancia de la rsc durante el covid-19.Energías Generación z, 14(6), 1–13.</w:t>
      </w:r>
      <w:r w:rsidDel="00000000" w:rsidR="00000000" w:rsidRPr="00000000">
        <w:rPr>
          <w:rtl w:val="0"/>
        </w:rPr>
      </w:r>
    </w:p>
    <w:bookmarkStart w:colFirst="0" w:colLast="0" w:name="bookmark=id.17dp8vu" w:id="10"/>
    <w:bookmarkEnd w:id="10"/>
    <w:bookmarkStart w:colFirst="0" w:colLast="0" w:name="bookmark=id.3rdcrjn" w:id="11"/>
    <w:bookmarkEnd w:id="11"/>
    <w:p w:rsidR="00000000" w:rsidDel="00000000" w:rsidP="00000000" w:rsidRDefault="00000000" w:rsidRPr="00000000" w14:paraId="0000007B">
      <w:pPr>
        <w:spacing w:line="360" w:lineRule="auto"/>
        <w:ind w:left="720" w:hanging="720"/>
        <w:rPr>
          <w:rFonts w:ascii="Times New Roman" w:cs="Times New Roman" w:eastAsia="Times New Roman" w:hAnsi="Times New Roman"/>
          <w:sz w:val="24"/>
          <w:szCs w:val="24"/>
          <w:highlight w:val="white"/>
        </w:rPr>
      </w:pPr>
      <w:bookmarkStart w:colFirst="0" w:colLast="0" w:name="_heading=h.26in1rg" w:id="12"/>
      <w:bookmarkEnd w:id="12"/>
      <w:r w:rsidDel="00000000" w:rsidR="00000000" w:rsidRPr="00000000">
        <w:rPr>
          <w:rFonts w:ascii="Times New Roman" w:cs="Times New Roman" w:eastAsia="Times New Roman" w:hAnsi="Times New Roman"/>
          <w:sz w:val="24"/>
          <w:szCs w:val="24"/>
          <w:highlight w:val="white"/>
          <w:rtl w:val="0"/>
        </w:rPr>
        <w:t xml:space="preserve">Durán Ayago, A. . (2022). Desde el compromiso social hasta el desarrollo sostenible: desafíos docentes de una educación universitaria de calidad transformadora. Revista De Educación Y Derecho, (1 Extraordinario), 215–238. </w:t>
      </w:r>
      <w:hyperlink r:id="rId38">
        <w:r w:rsidDel="00000000" w:rsidR="00000000" w:rsidRPr="00000000">
          <w:rPr>
            <w:rFonts w:ascii="Times New Roman" w:cs="Times New Roman" w:eastAsia="Times New Roman" w:hAnsi="Times New Roman"/>
            <w:color w:val="000000"/>
            <w:sz w:val="24"/>
            <w:szCs w:val="24"/>
            <w:highlight w:val="white"/>
            <w:u w:val="single"/>
            <w:rtl w:val="0"/>
          </w:rPr>
          <w:t xml:space="preserve">https://doi.org/10.1344/REYD2021.1EXT.37700</w:t>
        </w:r>
      </w:hyperlink>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7C">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instituciones de educación superior de </w:t>
      </w:r>
    </w:p>
    <w:p w:rsidR="00000000" w:rsidDel="00000000" w:rsidP="00000000" w:rsidRDefault="00000000" w:rsidRPr="00000000" w14:paraId="0000007D">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Freeman, R. E.: 1994, “The Politics of Stakeholder Theory: Some Future Directions”, Business Ethics Quarterly, 4, 409-421. </w:t>
      </w:r>
      <w:hyperlink r:id="rId39">
        <w:r w:rsidDel="00000000" w:rsidR="00000000" w:rsidRPr="00000000">
          <w:rPr>
            <w:rFonts w:ascii="Times New Roman" w:cs="Times New Roman" w:eastAsia="Times New Roman" w:hAnsi="Times New Roman"/>
            <w:color w:val="000000"/>
            <w:sz w:val="24"/>
            <w:szCs w:val="24"/>
            <w:u w:val="single"/>
            <w:rtl w:val="0"/>
          </w:rPr>
          <w:t xml:space="preserve">https://www.jstor.org/stable/3857340</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E">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García-Rico, Luis, Martínez Muñoz, L. Fernando, &amp; Santos-Pastor, Mª. Luisa. (2021). University Service-Learning as a promoter of social commitment in Physical Activity and Sport students. </w:t>
      </w:r>
      <w:r w:rsidDel="00000000" w:rsidR="00000000" w:rsidRPr="00000000">
        <w:rPr>
          <w:rFonts w:ascii="Times New Roman" w:cs="Times New Roman" w:eastAsia="Times New Roman" w:hAnsi="Times New Roman"/>
          <w:i w:val="1"/>
          <w:sz w:val="24"/>
          <w:szCs w:val="24"/>
          <w:rtl w:val="0"/>
        </w:rPr>
        <w:t xml:space="preserve">Estudios pedagógicos (Valdivia)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47</w:t>
      </w:r>
      <w:r w:rsidDel="00000000" w:rsidR="00000000" w:rsidRPr="00000000">
        <w:rPr>
          <w:rFonts w:ascii="Times New Roman" w:cs="Times New Roman" w:eastAsia="Times New Roman" w:hAnsi="Times New Roman"/>
          <w:sz w:val="24"/>
          <w:szCs w:val="24"/>
          <w:rtl w:val="0"/>
        </w:rPr>
        <w:t xml:space="preserve">(4), 149-165. </w:t>
      </w:r>
      <w:hyperlink r:id="rId40">
        <w:r w:rsidDel="00000000" w:rsidR="00000000" w:rsidRPr="00000000">
          <w:rPr>
            <w:rFonts w:ascii="Times New Roman" w:cs="Times New Roman" w:eastAsia="Times New Roman" w:hAnsi="Times New Roman"/>
            <w:color w:val="000000"/>
            <w:sz w:val="24"/>
            <w:szCs w:val="24"/>
            <w:u w:val="single"/>
            <w:rtl w:val="0"/>
          </w:rPr>
          <w:t xml:space="preserve">https://dx.doi.org/10.4067/S0718-07052021000400149</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F">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González, N. C., &amp; Roldán, C. D. (2018). El desarrollo socioeconómico en Latinoamérica. Un análisis a la luz de los objetivos de desarrollo sostenible de las Naciones Unidas. Atlantic Review of Economics:, ISSN-e 2174-3835, Vol. 1, Nº 1, 2018 </w:t>
      </w:r>
      <w:hyperlink r:id="rId41">
        <w:r w:rsidDel="00000000" w:rsidR="00000000" w:rsidRPr="00000000">
          <w:rPr>
            <w:rFonts w:ascii="Times New Roman" w:cs="Times New Roman" w:eastAsia="Times New Roman" w:hAnsi="Times New Roman"/>
            <w:color w:val="000000"/>
            <w:sz w:val="24"/>
            <w:szCs w:val="24"/>
            <w:u w:val="single"/>
            <w:rtl w:val="0"/>
          </w:rPr>
          <w:t xml:space="preserve">https://dialnet.unirioja.es/servlet/articulo?codigo=6525199</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0">
      <w:pPr>
        <w:pStyle w:val="Heading1"/>
        <w:spacing w:before="0" w:line="360" w:lineRule="auto"/>
        <w:ind w:left="720" w:hanging="72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Higgins JPT, Green S (editors). Cochrane Handbook for Systematic Reviews of Interventions Version 5.1.0 [updated March 2011]. The Cochrane Collaboration, 2011. Available from </w:t>
      </w:r>
      <w:hyperlink r:id="rId42">
        <w:r w:rsidDel="00000000" w:rsidR="00000000" w:rsidRPr="00000000">
          <w:rPr>
            <w:rFonts w:ascii="Times New Roman" w:cs="Times New Roman" w:eastAsia="Times New Roman" w:hAnsi="Times New Roman"/>
            <w:b w:val="0"/>
            <w:color w:val="000000"/>
            <w:sz w:val="24"/>
            <w:szCs w:val="24"/>
            <w:u w:val="single"/>
            <w:rtl w:val="0"/>
          </w:rPr>
          <w:t xml:space="preserve">www.cochrane-handbook.org</w:t>
        </w:r>
      </w:hyperlink>
      <w:r w:rsidDel="00000000" w:rsidR="00000000" w:rsidRPr="00000000">
        <w:rPr>
          <w:rFonts w:ascii="Times New Roman" w:cs="Times New Roman" w:eastAsia="Times New Roman" w:hAnsi="Times New Roman"/>
          <w:b w:val="0"/>
          <w:sz w:val="24"/>
          <w:szCs w:val="24"/>
          <w:rtl w:val="0"/>
        </w:rPr>
        <w:t xml:space="preserve">. </w:t>
      </w:r>
    </w:p>
    <w:p w:rsidR="00000000" w:rsidDel="00000000" w:rsidP="00000000" w:rsidRDefault="00000000" w:rsidRPr="00000000" w14:paraId="00000081">
      <w:pPr>
        <w:spacing w:line="360" w:lineRule="auto"/>
        <w:ind w:left="720" w:hanging="720"/>
        <w:rPr>
          <w:rFonts w:ascii="Times New Roman" w:cs="Times New Roman" w:eastAsia="Times New Roman" w:hAnsi="Times New Roman"/>
          <w:sz w:val="24"/>
          <w:szCs w:val="24"/>
        </w:rPr>
      </w:pPr>
      <w:hyperlink r:id="rId43">
        <w:r w:rsidDel="00000000" w:rsidR="00000000" w:rsidRPr="00000000">
          <w:rPr>
            <w:rFonts w:ascii="Times New Roman" w:cs="Times New Roman" w:eastAsia="Times New Roman" w:hAnsi="Times New Roman"/>
            <w:color w:val="000000"/>
            <w:sz w:val="24"/>
            <w:szCs w:val="24"/>
            <w:u w:val="single"/>
            <w:rtl w:val="0"/>
          </w:rPr>
          <w:t xml:space="preserve">https://doi.org/10.52080/rvgluz.28.101.26</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2">
      <w:pPr>
        <w:pStyle w:val="Heading1"/>
        <w:spacing w:before="0" w:line="360" w:lineRule="auto"/>
        <w:ind w:left="720" w:hanging="720"/>
        <w:rPr>
          <w:rFonts w:ascii="Times New Roman" w:cs="Times New Roman" w:eastAsia="Times New Roman" w:hAnsi="Times New Roman"/>
          <w:b w:val="0"/>
          <w:sz w:val="24"/>
          <w:szCs w:val="24"/>
        </w:rPr>
      </w:pPr>
      <w:hyperlink r:id="rId44">
        <w:r w:rsidDel="00000000" w:rsidR="00000000" w:rsidRPr="00000000">
          <w:rPr>
            <w:rFonts w:ascii="Times New Roman" w:cs="Times New Roman" w:eastAsia="Times New Roman" w:hAnsi="Times New Roman"/>
            <w:b w:val="0"/>
            <w:color w:val="000000"/>
            <w:sz w:val="24"/>
            <w:szCs w:val="24"/>
            <w:u w:val="single"/>
            <w:rtl w:val="0"/>
          </w:rPr>
          <w:t xml:space="preserve">https://www.redalyc.org/pdf/3776/377657496004.pdf</w:t>
        </w:r>
      </w:hyperlink>
      <w:r w:rsidDel="00000000" w:rsidR="00000000" w:rsidRPr="00000000">
        <w:rPr>
          <w:rFonts w:ascii="Times New Roman" w:cs="Times New Roman" w:eastAsia="Times New Roman" w:hAnsi="Times New Roman"/>
          <w:b w:val="0"/>
          <w:sz w:val="24"/>
          <w:szCs w:val="24"/>
          <w:rtl w:val="0"/>
        </w:rPr>
        <w:t xml:space="preserve"> SCOPUS</w:t>
      </w:r>
    </w:p>
    <w:p w:rsidR="00000000" w:rsidDel="00000000" w:rsidP="00000000" w:rsidRDefault="00000000" w:rsidRPr="00000000" w14:paraId="00000083">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José-Luis Álvarez-Castillo, Carmen-María Hernández-Lloret, Hugo González-González, Luis Espino-Díaz, Gemma Fernández-Caminero, Exploring the status of diversity in policies and practices of Spanish universities. An asymmetric dual model, Heliyon, Volume 7, Issue 3, 2021e06450, ISSN 2405-8440, https://doi.org/10.1016/j.heliyon.2021.e06450</w:t>
      </w:r>
    </w:p>
    <w:p w:rsidR="00000000" w:rsidDel="00000000" w:rsidP="00000000" w:rsidRDefault="00000000" w:rsidRPr="00000000" w14:paraId="00000084">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Provincia de El Oro, Ecuador. Revista </w:t>
      </w:r>
    </w:p>
    <w:p w:rsidR="00000000" w:rsidDel="00000000" w:rsidP="00000000" w:rsidRDefault="00000000" w:rsidRPr="00000000" w14:paraId="00000085">
      <w:pPr>
        <w:spacing w:line="360" w:lineRule="auto"/>
        <w:ind w:left="720" w:hanging="72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Lozano-Díaz, Antonia, and Juan S. Fernández-Prados. 2020. "Educating Digital Citizens: An Opportunity to Critical and Activist Perspective of Sustainable Development Goals" </w:t>
      </w:r>
      <w:r w:rsidDel="00000000" w:rsidR="00000000" w:rsidRPr="00000000">
        <w:rPr>
          <w:rFonts w:ascii="Times New Roman" w:cs="Times New Roman" w:eastAsia="Times New Roman" w:hAnsi="Times New Roman"/>
          <w:i w:val="1"/>
          <w:sz w:val="24"/>
          <w:szCs w:val="24"/>
          <w:highlight w:val="white"/>
          <w:rtl w:val="0"/>
        </w:rPr>
        <w:t xml:space="preserve">Sustainability</w:t>
      </w:r>
      <w:r w:rsidDel="00000000" w:rsidR="00000000" w:rsidRPr="00000000">
        <w:rPr>
          <w:rFonts w:ascii="Times New Roman" w:cs="Times New Roman" w:eastAsia="Times New Roman" w:hAnsi="Times New Roman"/>
          <w:sz w:val="24"/>
          <w:szCs w:val="24"/>
          <w:highlight w:val="white"/>
          <w:rtl w:val="0"/>
        </w:rPr>
        <w:t xml:space="preserve"> 12, no. 18: 7260. </w:t>
      </w:r>
      <w:hyperlink r:id="rId45">
        <w:r w:rsidDel="00000000" w:rsidR="00000000" w:rsidRPr="00000000">
          <w:rPr>
            <w:rFonts w:ascii="Times New Roman" w:cs="Times New Roman" w:eastAsia="Times New Roman" w:hAnsi="Times New Roman"/>
            <w:color w:val="000000"/>
            <w:sz w:val="24"/>
            <w:szCs w:val="24"/>
            <w:highlight w:val="white"/>
            <w:u w:val="single"/>
            <w:rtl w:val="0"/>
          </w:rPr>
          <w:t xml:space="preserve">https://doi.org/10.3390/su12187260</w:t>
        </w:r>
      </w:hyperlink>
      <w:r w:rsidDel="00000000" w:rsidR="00000000" w:rsidRPr="00000000">
        <w:rPr>
          <w:rtl w:val="0"/>
        </w:rPr>
      </w:r>
    </w:p>
    <w:p w:rsidR="00000000" w:rsidDel="00000000" w:rsidP="00000000" w:rsidRDefault="00000000" w:rsidRPr="00000000" w14:paraId="00000086">
      <w:pPr>
        <w:pStyle w:val="Heading1"/>
        <w:spacing w:before="0" w:line="360" w:lineRule="auto"/>
        <w:ind w:left="720" w:hanging="720"/>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Martínez-Valdivia, E., &amp; Pegalajar-PalominoBurgos-García, MdelCA. (2021). Responsabilidad social y uni- Formación del profesorado universitario: claves para el compromiso y la justicia social en la escuela.Sostenibilidad, 12(15), 1–15.</w:t>
      </w:r>
    </w:p>
    <w:p w:rsidR="00000000" w:rsidDel="00000000" w:rsidP="00000000" w:rsidRDefault="00000000" w:rsidRPr="00000000" w14:paraId="00000087">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Ortega, J. M., Diaz, E. M., &amp; Cámra, A. M. (2021). Futuros educadores, compromiso social y Aprendizaje-Servicio. Publicaciones, 51(1), 139–155. </w:t>
      </w:r>
      <w:hyperlink r:id="rId46">
        <w:r w:rsidDel="00000000" w:rsidR="00000000" w:rsidRPr="00000000">
          <w:rPr>
            <w:rFonts w:ascii="Times New Roman" w:cs="Times New Roman" w:eastAsia="Times New Roman" w:hAnsi="Times New Roman"/>
            <w:color w:val="000000"/>
            <w:sz w:val="24"/>
            <w:szCs w:val="24"/>
            <w:u w:val="single"/>
            <w:rtl w:val="0"/>
          </w:rPr>
          <w:t xml:space="preserve">https://doi.org/10.30827/publicaciones.v51i1.15746</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8">
      <w:pPr>
        <w:spacing w:line="360" w:lineRule="auto"/>
        <w:ind w:left="720" w:hanging="720"/>
        <w:rPr>
          <w:rFonts w:ascii="Times New Roman" w:cs="Times New Roman" w:eastAsia="Times New Roman" w:hAnsi="Times New Roman"/>
          <w:sz w:val="24"/>
          <w:szCs w:val="24"/>
          <w:shd w:fill="f4f4f4" w:val="clear"/>
        </w:rPr>
      </w:pPr>
      <w:r w:rsidDel="00000000" w:rsidR="00000000" w:rsidRPr="00000000">
        <w:rPr>
          <w:rFonts w:ascii="Times New Roman" w:cs="Times New Roman" w:eastAsia="Times New Roman" w:hAnsi="Times New Roman"/>
          <w:sz w:val="24"/>
          <w:szCs w:val="24"/>
          <w:rtl w:val="0"/>
        </w:rPr>
        <w:t xml:space="preserve">Pegalajar-Palomino, María C., Martínez-Valdivia, Estefanía, &amp; Burgos-García, Antonio. (2021). Análisis de la responsabilidad social en estudiantes universitarios de educación. </w:t>
      </w:r>
      <w:r w:rsidDel="00000000" w:rsidR="00000000" w:rsidRPr="00000000">
        <w:rPr>
          <w:rFonts w:ascii="Times New Roman" w:cs="Times New Roman" w:eastAsia="Times New Roman" w:hAnsi="Times New Roman"/>
          <w:i w:val="1"/>
          <w:sz w:val="24"/>
          <w:szCs w:val="24"/>
          <w:rtl w:val="0"/>
        </w:rPr>
        <w:t xml:space="preserve">Formación universitaria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14</w:t>
      </w:r>
      <w:r w:rsidDel="00000000" w:rsidR="00000000" w:rsidRPr="00000000">
        <w:rPr>
          <w:rFonts w:ascii="Times New Roman" w:cs="Times New Roman" w:eastAsia="Times New Roman" w:hAnsi="Times New Roman"/>
          <w:sz w:val="24"/>
          <w:szCs w:val="24"/>
          <w:rtl w:val="0"/>
        </w:rPr>
        <w:t xml:space="preserve">(2), 95-104. </w:t>
      </w:r>
      <w:hyperlink r:id="rId47">
        <w:r w:rsidDel="00000000" w:rsidR="00000000" w:rsidRPr="00000000">
          <w:rPr>
            <w:rFonts w:ascii="Times New Roman" w:cs="Times New Roman" w:eastAsia="Times New Roman" w:hAnsi="Times New Roman"/>
            <w:color w:val="000000"/>
            <w:sz w:val="24"/>
            <w:szCs w:val="24"/>
            <w:u w:val="single"/>
            <w:rtl w:val="0"/>
          </w:rPr>
          <w:t xml:space="preserve">https://dx.doi.org/10.4067/S0718-50062021000200095</w:t>
        </w:r>
      </w:hyperlink>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89">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Salcedo Muñoz, V., Arias Montero, </w:t>
      </w:r>
    </w:p>
    <w:p w:rsidR="00000000" w:rsidDel="00000000" w:rsidP="00000000" w:rsidRDefault="00000000" w:rsidRPr="00000000" w14:paraId="0000008A">
      <w:pPr>
        <w:spacing w:line="360" w:lineRule="auto"/>
        <w:ind w:left="720" w:hanging="720"/>
        <w:rPr>
          <w:rFonts w:ascii="Times New Roman" w:cs="Times New Roman" w:eastAsia="Times New Roman" w:hAnsi="Times New Roman"/>
          <w:sz w:val="24"/>
          <w:szCs w:val="24"/>
        </w:rPr>
      </w:pPr>
      <w:bookmarkStart w:colFirst="0" w:colLast="0" w:name="_heading=h.lnxbz9" w:id="13"/>
      <w:bookmarkEnd w:id="13"/>
      <w:r w:rsidDel="00000000" w:rsidR="00000000" w:rsidRPr="00000000">
        <w:rPr>
          <w:rFonts w:ascii="Times New Roman" w:cs="Times New Roman" w:eastAsia="Times New Roman" w:hAnsi="Times New Roman"/>
          <w:sz w:val="24"/>
          <w:szCs w:val="24"/>
          <w:rtl w:val="0"/>
        </w:rPr>
        <w:t xml:space="preserve">Salcedo-Muñoz, V., Arias Montero, V., Nuñez Guale, L., y Moreno Loaiza, C. (2023). Responsabilidad social universitaria en instituciones de educación superior de la Provincia de El Oro, Ecuador. Revista Venezolana De Gerencia, 28(101), 419-434. </w:t>
      </w:r>
      <w:hyperlink r:id="rId48">
        <w:r w:rsidDel="00000000" w:rsidR="00000000" w:rsidRPr="00000000">
          <w:rPr>
            <w:rFonts w:ascii="Times New Roman" w:cs="Times New Roman" w:eastAsia="Times New Roman" w:hAnsi="Times New Roman"/>
            <w:color w:val="000000"/>
            <w:sz w:val="24"/>
            <w:szCs w:val="24"/>
            <w:u w:val="single"/>
            <w:rtl w:val="0"/>
          </w:rPr>
          <w:t xml:space="preserve">https://doi.org/10.52080/rvgluz.28.101.26</w:t>
        </w:r>
      </w:hyperlink>
      <w:r w:rsidDel="00000000" w:rsidR="00000000" w:rsidRPr="00000000">
        <w:rPr>
          <w:rtl w:val="0"/>
        </w:rPr>
      </w:r>
    </w:p>
    <w:p w:rsidR="00000000" w:rsidDel="00000000" w:rsidP="00000000" w:rsidRDefault="00000000" w:rsidRPr="00000000" w14:paraId="0000008B">
      <w:pPr>
        <w:spacing w:before="5"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Santana, A.R. (2022). Evaluación de la Responsabilidad Social Universitaria: una revisión sistemática de literatura. Emerging Trends in Education, (4)8A, 16-31 </w:t>
      </w:r>
      <w:hyperlink r:id="rId49">
        <w:r w:rsidDel="00000000" w:rsidR="00000000" w:rsidRPr="00000000">
          <w:rPr>
            <w:rFonts w:ascii="Times New Roman" w:cs="Times New Roman" w:eastAsia="Times New Roman" w:hAnsi="Times New Roman"/>
            <w:color w:val="000000"/>
            <w:sz w:val="24"/>
            <w:szCs w:val="24"/>
            <w:u w:val="single"/>
            <w:rtl w:val="0"/>
          </w:rPr>
          <w:t xml:space="preserve">https://doi.org/10.19136/etie.a4n8A.4754</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C">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Sarmiento-Peralta, Giusseppe, Severino-González, Pedro, &amp; Santander-Ramírez, Valentín. (2021). Responsabilidad social: voluntariado universitario y comportamiento virtuoso. El caso de una ciudad de Perú. </w:t>
      </w:r>
      <w:r w:rsidDel="00000000" w:rsidR="00000000" w:rsidRPr="00000000">
        <w:rPr>
          <w:rFonts w:ascii="Times New Roman" w:cs="Times New Roman" w:eastAsia="Times New Roman" w:hAnsi="Times New Roman"/>
          <w:i w:val="1"/>
          <w:sz w:val="24"/>
          <w:szCs w:val="24"/>
          <w:rtl w:val="0"/>
        </w:rPr>
        <w:t xml:space="preserve">Formación universitaria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14</w:t>
      </w:r>
      <w:r w:rsidDel="00000000" w:rsidR="00000000" w:rsidRPr="00000000">
        <w:rPr>
          <w:rFonts w:ascii="Times New Roman" w:cs="Times New Roman" w:eastAsia="Times New Roman" w:hAnsi="Times New Roman"/>
          <w:sz w:val="24"/>
          <w:szCs w:val="24"/>
          <w:rtl w:val="0"/>
        </w:rPr>
        <w:t xml:space="preserve">(5), 19-28. </w:t>
      </w:r>
      <w:hyperlink r:id="rId50">
        <w:r w:rsidDel="00000000" w:rsidR="00000000" w:rsidRPr="00000000">
          <w:rPr>
            <w:rFonts w:ascii="Times New Roman" w:cs="Times New Roman" w:eastAsia="Times New Roman" w:hAnsi="Times New Roman"/>
            <w:color w:val="000000"/>
            <w:sz w:val="24"/>
            <w:szCs w:val="24"/>
            <w:u w:val="single"/>
            <w:rtl w:val="0"/>
          </w:rPr>
          <w:t xml:space="preserve">https://dx.doi.org/10.4067/S0718-50062021000500019</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D">
      <w:pPr>
        <w:spacing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Tomás-Górriz V, Tomás-Casterá V. La Bibliometría en la evaluación de la actividad científica. Hosp Domic. 2018;2(4):145-63. </w:t>
      </w:r>
      <w:hyperlink r:id="rId51">
        <w:r w:rsidDel="00000000" w:rsidR="00000000" w:rsidRPr="00000000">
          <w:rPr>
            <w:rFonts w:ascii="Times New Roman" w:cs="Times New Roman" w:eastAsia="Times New Roman" w:hAnsi="Times New Roman"/>
            <w:color w:val="000000"/>
            <w:sz w:val="24"/>
            <w:szCs w:val="24"/>
            <w:u w:val="single"/>
            <w:rtl w:val="0"/>
          </w:rPr>
          <w:t xml:space="preserve">https://www.researchgate.net/publication/328641216_La_Bibliometria_en_la_evaluacion_de_la_actividad_cientifica</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8E">
      <w:pPr>
        <w:tabs>
          <w:tab w:val="left" w:leader="none" w:pos="1560"/>
        </w:tabs>
        <w:spacing w:line="360" w:lineRule="auto"/>
        <w:ind w:left="720" w:hanging="720"/>
        <w:rPr>
          <w:rFonts w:ascii="Times New Roman" w:cs="Times New Roman" w:eastAsia="Times New Roman" w:hAnsi="Times New Roman"/>
          <w:sz w:val="24"/>
          <w:szCs w:val="24"/>
          <w:shd w:fill="f4f4f4" w:val="clear"/>
        </w:rPr>
      </w:pPr>
      <w:r w:rsidDel="00000000" w:rsidR="00000000" w:rsidRPr="00000000">
        <w:rPr>
          <w:rFonts w:ascii="Times New Roman" w:cs="Times New Roman" w:eastAsia="Times New Roman" w:hAnsi="Times New Roman"/>
          <w:sz w:val="24"/>
          <w:szCs w:val="24"/>
          <w:shd w:fill="f4f4f4" w:val="clear"/>
          <w:rtl w:val="0"/>
        </w:rPr>
        <w:t xml:space="preserve">Vallaeys, F, Silva Oliveira, M, Crissien Borrero, T, Solano, D y Suarez, A. (2022). State of the art of university social responsibility: a standardized model and compared self-diagnosis in Latin America. Emerald Group Publishing Ltd.. </w:t>
      </w:r>
    </w:p>
    <w:p w:rsidR="00000000" w:rsidDel="00000000" w:rsidP="00000000" w:rsidRDefault="00000000" w:rsidRPr="00000000" w14:paraId="0000008F">
      <w:pPr>
        <w:spacing w:before="5"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Vallaeys, F.(2009). Responsabilidad social universitaria Manual de primeros pasos (1ra ed.). Mexico D.C. McGRAW-HILL INTERAMERICANA EDITORES S.A de C.V. </w:t>
      </w:r>
      <w:hyperlink r:id="rId52">
        <w:r w:rsidDel="00000000" w:rsidR="00000000" w:rsidRPr="00000000">
          <w:rPr>
            <w:rFonts w:ascii="Times New Roman" w:cs="Times New Roman" w:eastAsia="Times New Roman" w:hAnsi="Times New Roman"/>
            <w:color w:val="000000"/>
            <w:sz w:val="24"/>
            <w:szCs w:val="24"/>
            <w:u w:val="single"/>
            <w:rtl w:val="0"/>
          </w:rPr>
          <w:t xml:space="preserve">https://www.google.com.co/books/edition/Responsabilidad_social_universitaria/ATeGDwAAQBAJ?hl=es-419&amp;gbpv=1</w:t>
        </w:r>
      </w:hyperlink>
      <w:r w:rsidDel="00000000" w:rsidR="00000000" w:rsidRPr="00000000">
        <w:rPr>
          <w:rtl w:val="0"/>
        </w:rPr>
      </w:r>
    </w:p>
    <w:p w:rsidR="00000000" w:rsidDel="00000000" w:rsidP="00000000" w:rsidRDefault="00000000" w:rsidRPr="00000000" w14:paraId="00000090">
      <w:pPr>
        <w:spacing w:before="5" w:line="360" w:lineRule="auto"/>
        <w:ind w:left="720" w:hanging="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Vélez Romero &amp; Cano Lara (2016). Dominio de las Ciencias, ISSN-e 2477-8818, Vol. 2, Nº. Extra 3, 2016 (Ejemplar dedicado a: Monográfico de Ciencias de la Salud), págs. 117-126         </w:t>
      </w:r>
      <w:hyperlink r:id="rId53">
        <w:r w:rsidDel="00000000" w:rsidR="00000000" w:rsidRPr="00000000">
          <w:rPr>
            <w:rFonts w:ascii="Times New Roman" w:cs="Times New Roman" w:eastAsia="Times New Roman" w:hAnsi="Times New Roman"/>
            <w:color w:val="000000"/>
            <w:sz w:val="24"/>
            <w:szCs w:val="24"/>
            <w:u w:val="single"/>
            <w:rtl w:val="0"/>
          </w:rPr>
          <w:t xml:space="preserve">https://dialnet.unirioja.es/servlet/articulo?codigo=5802930</w:t>
        </w:r>
      </w:hyperlink>
      <w:r w:rsidDel="00000000" w:rsidR="00000000" w:rsidRPr="00000000">
        <w:rPr>
          <w:rFonts w:ascii="Times New Roman" w:cs="Times New Roman" w:eastAsia="Times New Roman" w:hAnsi="Times New Roman"/>
          <w:sz w:val="24"/>
          <w:szCs w:val="24"/>
          <w:rtl w:val="0"/>
        </w:rPr>
        <w:t xml:space="preserve"> </w:t>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Cambria"/>
  <w:font w:name="Georgia"/>
  <w:font w:name="Times New Roman"/>
  <w:font w:name="Calibri"/>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Arial Black">
    <w:embedRegular w:fontKey="{00000000-0000-0000-0000-000000000000}" r:id="rId7"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14.399999999999999" w:lineRule="auto"/>
      <w:ind w:left="0" w:right="0" w:firstLine="720"/>
      <w:jc w:val="left"/>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2439500</wp:posOffset>
              </wp:positionH>
              <wp:positionV relativeFrom="page">
                <wp:posOffset>276592</wp:posOffset>
              </wp:positionV>
              <wp:extent cx="2886710" cy="343633"/>
              <wp:effectExtent b="0" l="0" r="0" t="0"/>
              <wp:wrapNone/>
              <wp:docPr id="8" name=""/>
              <a:graphic>
                <a:graphicData uri="http://schemas.microsoft.com/office/word/2010/wordprocessingShape">
                  <wps:wsp>
                    <wps:cNvSpPr/>
                    <wps:cNvPr id="28" name="Shape 28"/>
                    <wps:spPr>
                      <a:xfrm>
                        <a:off x="3907408" y="3612946"/>
                        <a:ext cx="2877185" cy="334108"/>
                      </a:xfrm>
                      <a:prstGeom prst="rect">
                        <a:avLst/>
                      </a:prstGeom>
                      <a:noFill/>
                      <a:ln>
                        <a:noFill/>
                      </a:ln>
                    </wps:spPr>
                    <wps:txbx>
                      <w:txbxContent>
                        <w:p w:rsidR="00000000" w:rsidDel="00000000" w:rsidP="00000000" w:rsidRDefault="00000000" w:rsidRPr="00000000">
                          <w:pPr>
                            <w:spacing w:after="0" w:before="30.999999046325684" w:line="480"/>
                            <w:ind w:left="20" w:right="0" w:firstLine="740"/>
                            <w:jc w:val="both"/>
                            <w:textDirection w:val="btLr"/>
                          </w:pPr>
                          <w:r w:rsidDel="00000000" w:rsidR="00000000" w:rsidRPr="00000000">
                            <w:rPr>
                              <w:rFonts w:ascii="Arial Black" w:cs="Arial Black" w:eastAsia="Arial Black" w:hAnsi="Arial Black"/>
                              <w:b w:val="0"/>
                              <w:i w:val="0"/>
                              <w:smallCaps w:val="0"/>
                              <w:strike w:val="0"/>
                              <w:color w:val="000000"/>
                              <w:sz w:val="24"/>
                              <w:vertAlign w:val="baseline"/>
                            </w:rPr>
                            <w:t xml:space="preserve">Revista Estudios Gerenciales </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2439500</wp:posOffset>
              </wp:positionH>
              <wp:positionV relativeFrom="page">
                <wp:posOffset>276592</wp:posOffset>
              </wp:positionV>
              <wp:extent cx="2886710" cy="343633"/>
              <wp:effectExtent b="0" l="0" r="0" t="0"/>
              <wp:wrapNone/>
              <wp:docPr id="8" name="image20.png"/>
              <a:graphic>
                <a:graphicData uri="http://schemas.openxmlformats.org/drawingml/2006/picture">
                  <pic:pic>
                    <pic:nvPicPr>
                      <pic:cNvPr id="0" name="image20.png"/>
                      <pic:cNvPicPr preferRelativeResize="0"/>
                    </pic:nvPicPr>
                    <pic:blipFill>
                      <a:blip r:embed="rId1"/>
                      <a:srcRect/>
                      <a:stretch>
                        <a:fillRect/>
                      </a:stretch>
                    </pic:blipFill>
                    <pic:spPr>
                      <a:xfrm>
                        <a:off x="0" y="0"/>
                        <a:ext cx="2886710" cy="343633"/>
                      </a:xfrm>
                      <a:prstGeom prst="rect"/>
                      <a:ln/>
                    </pic:spPr>
                  </pic:pic>
                </a:graphicData>
              </a:graphic>
            </wp:anchor>
          </w:drawing>
        </mc:Fallback>
      </mc:AlternateContent>
    </w:r>
    <w:r w:rsidDel="00000000" w:rsidR="00000000" w:rsidRPr="00000000">
      <w:rPr>
        <w:rFonts w:ascii="Helvetica Neue" w:cs="Helvetica Neue" w:eastAsia="Helvetica Neue" w:hAnsi="Helvetica Neue"/>
        <w:b w:val="0"/>
        <w:i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7011353</wp:posOffset>
              </wp:positionH>
              <wp:positionV relativeFrom="page">
                <wp:posOffset>368618</wp:posOffset>
              </wp:positionV>
              <wp:extent cx="227965" cy="160020"/>
              <wp:effectExtent b="0" l="0" r="0" t="0"/>
              <wp:wrapNone/>
              <wp:docPr id="7" name=""/>
              <a:graphic>
                <a:graphicData uri="http://schemas.microsoft.com/office/word/2010/wordprocessingShape">
                  <wps:wsp>
                    <wps:cNvSpPr/>
                    <wps:cNvPr id="27" name="Shape 27"/>
                    <wps:spPr>
                      <a:xfrm>
                        <a:off x="5236780" y="3704753"/>
                        <a:ext cx="218440" cy="150495"/>
                      </a:xfrm>
                      <a:prstGeom prst="rect">
                        <a:avLst/>
                      </a:prstGeom>
                      <a:noFill/>
                      <a:ln>
                        <a:noFill/>
                      </a:ln>
                    </wps:spPr>
                    <wps:txbx>
                      <w:txbxContent>
                        <w:p w:rsidR="00000000" w:rsidDel="00000000" w:rsidP="00000000" w:rsidRDefault="00000000" w:rsidRPr="00000000">
                          <w:pPr>
                            <w:spacing w:after="0" w:before="30" w:line="480"/>
                            <w:ind w:left="60" w:right="0" w:firstLine="780"/>
                            <w:jc w:val="both"/>
                            <w:textDirection w:val="btLr"/>
                          </w:pPr>
                          <w:r w:rsidDel="00000000" w:rsidR="00000000" w:rsidRPr="00000000">
                            <w:rPr>
                              <w:rFonts w:ascii="Arial Black" w:cs="Arial Black" w:eastAsia="Arial Black" w:hAnsi="Arial Black"/>
                              <w:b w:val="0"/>
                              <w:i w:val="0"/>
                              <w:smallCaps w:val="0"/>
                              <w:strike w:val="0"/>
                              <w:color w:val="000000"/>
                              <w:sz w:val="14"/>
                              <w:vertAlign w:val="baseline"/>
                            </w:rPr>
                            <w:t xml:space="preserve"> PAGE </w:t>
                          </w:r>
                          <w:r w:rsidDel="00000000" w:rsidR="00000000" w:rsidRPr="00000000">
                            <w:rPr>
                              <w:rFonts w:ascii="Helvetica Neue" w:cs="Helvetica Neue" w:eastAsia="Helvetica Neue" w:hAnsi="Helvetica Neue"/>
                              <w:b w:val="0"/>
                              <w:i w:val="0"/>
                              <w:smallCaps w:val="0"/>
                              <w:strike w:val="0"/>
                              <w:color w:val="000000"/>
                              <w:sz w:val="22"/>
                              <w:vertAlign w:val="baseline"/>
                            </w:rPr>
                            <w:t xml:space="preserve">299</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7011353</wp:posOffset>
              </wp:positionH>
              <wp:positionV relativeFrom="page">
                <wp:posOffset>368618</wp:posOffset>
              </wp:positionV>
              <wp:extent cx="227965" cy="160020"/>
              <wp:effectExtent b="0" l="0" r="0" t="0"/>
              <wp:wrapNone/>
              <wp:docPr id="7" name="image17.png"/>
              <a:graphic>
                <a:graphicData uri="http://schemas.openxmlformats.org/drawingml/2006/picture">
                  <pic:pic>
                    <pic:nvPicPr>
                      <pic:cNvPr id="0" name="image17.png"/>
                      <pic:cNvPicPr preferRelativeResize="0"/>
                    </pic:nvPicPr>
                    <pic:blipFill>
                      <a:blip r:embed="rId2"/>
                      <a:srcRect/>
                      <a:stretch>
                        <a:fillRect/>
                      </a:stretch>
                    </pic:blipFill>
                    <pic:spPr>
                      <a:xfrm>
                        <a:off x="0" y="0"/>
                        <a:ext cx="227965" cy="16002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spacing w:before="31" w:lineRule="auto"/>
      <w:ind w:left="20" w:firstLine="720"/>
      <w:jc w:val="center"/>
      <w:rPr>
        <w:rFonts w:ascii="Arial Black" w:cs="Arial Black" w:eastAsia="Arial Black" w:hAnsi="Arial Black"/>
        <w:sz w:val="24"/>
        <w:szCs w:val="24"/>
      </w:rPr>
    </w:pPr>
    <w:r w:rsidDel="00000000" w:rsidR="00000000" w:rsidRPr="00000000">
      <w:rPr>
        <w:rFonts w:ascii="Arial Black" w:cs="Arial Black" w:eastAsia="Arial Black" w:hAnsi="Arial Black"/>
        <w:sz w:val="24"/>
        <w:szCs w:val="24"/>
        <w:rtl w:val="0"/>
      </w:rPr>
      <w:t xml:space="preserve">Revista Estudios Gerenciales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14.399999999999999" w:lineRule="auto"/>
      <w:ind w:left="0" w:right="0" w:firstLine="720"/>
      <w:jc w:val="left"/>
      <w:rPr>
        <w:rFonts w:ascii="Helvetica Neue" w:cs="Helvetica Neue" w:eastAsia="Helvetica Neue" w:hAnsi="Helvetica Neue"/>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526" w:hanging="360"/>
      </w:pPr>
      <w:rPr>
        <w:rFonts w:ascii="Calibri" w:cs="Calibri" w:eastAsia="Calibri" w:hAnsi="Calibri"/>
        <w:sz w:val="24"/>
        <w:szCs w:val="24"/>
      </w:rPr>
    </w:lvl>
    <w:lvl w:ilvl="1">
      <w:start w:val="0"/>
      <w:numFmt w:val="bullet"/>
      <w:lvlText w:val="•"/>
      <w:lvlJc w:val="left"/>
      <w:pPr>
        <w:ind w:left="1102" w:hanging="360"/>
      </w:pPr>
      <w:rPr/>
    </w:lvl>
    <w:lvl w:ilvl="2">
      <w:start w:val="0"/>
      <w:numFmt w:val="bullet"/>
      <w:lvlText w:val="•"/>
      <w:lvlJc w:val="left"/>
      <w:pPr>
        <w:ind w:left="1685" w:hanging="360"/>
      </w:pPr>
      <w:rPr/>
    </w:lvl>
    <w:lvl w:ilvl="3">
      <w:start w:val="0"/>
      <w:numFmt w:val="bullet"/>
      <w:lvlText w:val="•"/>
      <w:lvlJc w:val="left"/>
      <w:pPr>
        <w:ind w:left="2268" w:hanging="360"/>
      </w:pPr>
      <w:rPr/>
    </w:lvl>
    <w:lvl w:ilvl="4">
      <w:start w:val="0"/>
      <w:numFmt w:val="bullet"/>
      <w:lvlText w:val="•"/>
      <w:lvlJc w:val="left"/>
      <w:pPr>
        <w:ind w:left="2851" w:hanging="360"/>
      </w:pPr>
      <w:rPr/>
    </w:lvl>
    <w:lvl w:ilvl="5">
      <w:start w:val="0"/>
      <w:numFmt w:val="bullet"/>
      <w:lvlText w:val="•"/>
      <w:lvlJc w:val="left"/>
      <w:pPr>
        <w:ind w:left="3434" w:hanging="360"/>
      </w:pPr>
      <w:rPr/>
    </w:lvl>
    <w:lvl w:ilvl="6">
      <w:start w:val="0"/>
      <w:numFmt w:val="bullet"/>
      <w:lvlText w:val="•"/>
      <w:lvlJc w:val="left"/>
      <w:pPr>
        <w:ind w:left="4016" w:hanging="360"/>
      </w:pPr>
      <w:rPr/>
    </w:lvl>
    <w:lvl w:ilvl="7">
      <w:start w:val="0"/>
      <w:numFmt w:val="bullet"/>
      <w:lvlText w:val="•"/>
      <w:lvlJc w:val="left"/>
      <w:pPr>
        <w:ind w:left="4599" w:hanging="360"/>
      </w:pPr>
      <w:rPr/>
    </w:lvl>
    <w:lvl w:ilvl="8">
      <w:start w:val="0"/>
      <w:numFmt w:val="bullet"/>
      <w:lvlText w:val="•"/>
      <w:lvlJc w:val="left"/>
      <w:pPr>
        <w:ind w:left="5182" w:hanging="360"/>
      </w:pPr>
      <w:rPr/>
    </w:lvl>
  </w:abstractNum>
  <w:abstractNum w:abstractNumId="2">
    <w:lvl w:ilvl="0">
      <w:start w:val="0"/>
      <w:numFmt w:val="bullet"/>
      <w:lvlText w:val="●"/>
      <w:lvlJc w:val="left"/>
      <w:pPr>
        <w:ind w:left="526" w:hanging="360"/>
      </w:pPr>
      <w:rPr>
        <w:rFonts w:ascii="Calibri" w:cs="Calibri" w:eastAsia="Calibri" w:hAnsi="Calibri"/>
        <w:sz w:val="24"/>
        <w:szCs w:val="24"/>
      </w:rPr>
    </w:lvl>
    <w:lvl w:ilvl="1">
      <w:start w:val="0"/>
      <w:numFmt w:val="bullet"/>
      <w:lvlText w:val="•"/>
      <w:lvlJc w:val="left"/>
      <w:pPr>
        <w:ind w:left="1102" w:hanging="360"/>
      </w:pPr>
      <w:rPr/>
    </w:lvl>
    <w:lvl w:ilvl="2">
      <w:start w:val="0"/>
      <w:numFmt w:val="bullet"/>
      <w:lvlText w:val="•"/>
      <w:lvlJc w:val="left"/>
      <w:pPr>
        <w:ind w:left="1685" w:hanging="360"/>
      </w:pPr>
      <w:rPr/>
    </w:lvl>
    <w:lvl w:ilvl="3">
      <w:start w:val="0"/>
      <w:numFmt w:val="bullet"/>
      <w:lvlText w:val="•"/>
      <w:lvlJc w:val="left"/>
      <w:pPr>
        <w:ind w:left="2268" w:hanging="360"/>
      </w:pPr>
      <w:rPr/>
    </w:lvl>
    <w:lvl w:ilvl="4">
      <w:start w:val="0"/>
      <w:numFmt w:val="bullet"/>
      <w:lvlText w:val="•"/>
      <w:lvlJc w:val="left"/>
      <w:pPr>
        <w:ind w:left="2851" w:hanging="360"/>
      </w:pPr>
      <w:rPr/>
    </w:lvl>
    <w:lvl w:ilvl="5">
      <w:start w:val="0"/>
      <w:numFmt w:val="bullet"/>
      <w:lvlText w:val="•"/>
      <w:lvlJc w:val="left"/>
      <w:pPr>
        <w:ind w:left="3434" w:hanging="360"/>
      </w:pPr>
      <w:rPr/>
    </w:lvl>
    <w:lvl w:ilvl="6">
      <w:start w:val="0"/>
      <w:numFmt w:val="bullet"/>
      <w:lvlText w:val="•"/>
      <w:lvlJc w:val="left"/>
      <w:pPr>
        <w:ind w:left="4016" w:hanging="360"/>
      </w:pPr>
      <w:rPr/>
    </w:lvl>
    <w:lvl w:ilvl="7">
      <w:start w:val="0"/>
      <w:numFmt w:val="bullet"/>
      <w:lvlText w:val="•"/>
      <w:lvlJc w:val="left"/>
      <w:pPr>
        <w:ind w:left="4599" w:hanging="360"/>
      </w:pPr>
      <w:rPr/>
    </w:lvl>
    <w:lvl w:ilvl="8">
      <w:start w:val="0"/>
      <w:numFmt w:val="bullet"/>
      <w:lvlText w:val="•"/>
      <w:lvlJc w:val="left"/>
      <w:pPr>
        <w:ind w:left="5182" w:hanging="360"/>
      </w:pPr>
      <w:rPr/>
    </w:lvl>
  </w:abstractNum>
  <w:abstractNum w:abstractNumId="3">
    <w:lvl w:ilvl="0">
      <w:start w:val="1"/>
      <w:numFmt w:val="decimal"/>
      <w:lvlText w:val="%1."/>
      <w:lvlJc w:val="left"/>
      <w:pPr>
        <w:ind w:left="530" w:hanging="360"/>
      </w:pPr>
      <w:rPr/>
    </w:lvl>
    <w:lvl w:ilvl="1">
      <w:start w:val="1"/>
      <w:numFmt w:val="decimal"/>
      <w:lvlText w:val="%1.%2"/>
      <w:lvlJc w:val="left"/>
      <w:pPr>
        <w:ind w:left="540" w:hanging="360"/>
      </w:pPr>
      <w:rPr/>
    </w:lvl>
    <w:lvl w:ilvl="2">
      <w:start w:val="1"/>
      <w:numFmt w:val="decimal"/>
      <w:lvlText w:val="%1.%2.%3"/>
      <w:lvlJc w:val="left"/>
      <w:pPr>
        <w:ind w:left="910" w:hanging="720"/>
      </w:pPr>
      <w:rPr/>
    </w:lvl>
    <w:lvl w:ilvl="3">
      <w:start w:val="1"/>
      <w:numFmt w:val="decimal"/>
      <w:lvlText w:val="%1.%2.%3.%4"/>
      <w:lvlJc w:val="left"/>
      <w:pPr>
        <w:ind w:left="920" w:hanging="720"/>
      </w:pPr>
      <w:rPr/>
    </w:lvl>
    <w:lvl w:ilvl="4">
      <w:start w:val="1"/>
      <w:numFmt w:val="decimal"/>
      <w:lvlText w:val="%1.%2.%3.%4.%5"/>
      <w:lvlJc w:val="left"/>
      <w:pPr>
        <w:ind w:left="1290" w:hanging="1080"/>
      </w:pPr>
      <w:rPr/>
    </w:lvl>
    <w:lvl w:ilvl="5">
      <w:start w:val="1"/>
      <w:numFmt w:val="decimal"/>
      <w:lvlText w:val="%1.%2.%3.%4.%5.%6"/>
      <w:lvlJc w:val="left"/>
      <w:pPr>
        <w:ind w:left="1300" w:hanging="1080"/>
      </w:pPr>
      <w:rPr/>
    </w:lvl>
    <w:lvl w:ilvl="6">
      <w:start w:val="1"/>
      <w:numFmt w:val="decimal"/>
      <w:lvlText w:val="%1.%2.%3.%4.%5.%6.%7"/>
      <w:lvlJc w:val="left"/>
      <w:pPr>
        <w:ind w:left="1670" w:hanging="1440"/>
      </w:pPr>
      <w:rPr/>
    </w:lvl>
    <w:lvl w:ilvl="7">
      <w:start w:val="1"/>
      <w:numFmt w:val="decimal"/>
      <w:lvlText w:val="%1.%2.%3.%4.%5.%6.%7.%8"/>
      <w:lvlJc w:val="left"/>
      <w:pPr>
        <w:ind w:left="1680" w:hanging="1440"/>
      </w:pPr>
      <w:rPr/>
    </w:lvl>
    <w:lvl w:ilvl="8">
      <w:start w:val="1"/>
      <w:numFmt w:val="decimal"/>
      <w:lvlText w:val="%1.%2.%3.%4.%5.%6.%7.%8.%9"/>
      <w:lvlJc w:val="left"/>
      <w:pPr>
        <w:ind w:left="2050" w:hanging="1800"/>
      </w:pPr>
      <w:rPr/>
    </w:lvl>
  </w:abstractNum>
  <w:abstractNum w:abstractNumId="4">
    <w:lvl w:ilvl="0">
      <w:start w:val="1"/>
      <w:numFmt w:val="bullet"/>
      <w:lvlText w:val="●"/>
      <w:lvlJc w:val="left"/>
      <w:pPr>
        <w:ind w:left="1260" w:hanging="360"/>
      </w:pPr>
      <w:rPr>
        <w:rFonts w:ascii="Noto Sans Symbols" w:cs="Noto Sans Symbols" w:eastAsia="Noto Sans Symbols" w:hAnsi="Noto Sans Symbols"/>
      </w:rPr>
    </w:lvl>
    <w:lvl w:ilvl="1">
      <w:start w:val="1"/>
      <w:numFmt w:val="bullet"/>
      <w:lvlText w:val="o"/>
      <w:lvlJc w:val="left"/>
      <w:pPr>
        <w:ind w:left="1980" w:hanging="360"/>
      </w:pPr>
      <w:rPr>
        <w:rFonts w:ascii="Courier New" w:cs="Courier New" w:eastAsia="Courier New" w:hAnsi="Courier New"/>
      </w:rPr>
    </w:lvl>
    <w:lvl w:ilvl="2">
      <w:start w:val="1"/>
      <w:numFmt w:val="bullet"/>
      <w:lvlText w:val="▪"/>
      <w:lvlJc w:val="left"/>
      <w:pPr>
        <w:ind w:left="2700" w:hanging="360"/>
      </w:pPr>
      <w:rPr>
        <w:rFonts w:ascii="Noto Sans Symbols" w:cs="Noto Sans Symbols" w:eastAsia="Noto Sans Symbols" w:hAnsi="Noto Sans Symbols"/>
      </w:rPr>
    </w:lvl>
    <w:lvl w:ilvl="3">
      <w:start w:val="1"/>
      <w:numFmt w:val="bullet"/>
      <w:lvlText w:val="●"/>
      <w:lvlJc w:val="left"/>
      <w:pPr>
        <w:ind w:left="3420" w:hanging="360"/>
      </w:pPr>
      <w:rPr>
        <w:rFonts w:ascii="Noto Sans Symbols" w:cs="Noto Sans Symbols" w:eastAsia="Noto Sans Symbols" w:hAnsi="Noto Sans Symbols"/>
      </w:rPr>
    </w:lvl>
    <w:lvl w:ilvl="4">
      <w:start w:val="1"/>
      <w:numFmt w:val="bullet"/>
      <w:lvlText w:val="o"/>
      <w:lvlJc w:val="left"/>
      <w:pPr>
        <w:ind w:left="4140" w:hanging="360"/>
      </w:pPr>
      <w:rPr>
        <w:rFonts w:ascii="Courier New" w:cs="Courier New" w:eastAsia="Courier New" w:hAnsi="Courier New"/>
      </w:rPr>
    </w:lvl>
    <w:lvl w:ilvl="5">
      <w:start w:val="1"/>
      <w:numFmt w:val="bullet"/>
      <w:lvlText w:val="▪"/>
      <w:lvlJc w:val="left"/>
      <w:pPr>
        <w:ind w:left="4860" w:hanging="360"/>
      </w:pPr>
      <w:rPr>
        <w:rFonts w:ascii="Noto Sans Symbols" w:cs="Noto Sans Symbols" w:eastAsia="Noto Sans Symbols" w:hAnsi="Noto Sans Symbols"/>
      </w:rPr>
    </w:lvl>
    <w:lvl w:ilvl="6">
      <w:start w:val="1"/>
      <w:numFmt w:val="bullet"/>
      <w:lvlText w:val="●"/>
      <w:lvlJc w:val="left"/>
      <w:pPr>
        <w:ind w:left="5580" w:hanging="360"/>
      </w:pPr>
      <w:rPr>
        <w:rFonts w:ascii="Noto Sans Symbols" w:cs="Noto Sans Symbols" w:eastAsia="Noto Sans Symbols" w:hAnsi="Noto Sans Symbols"/>
      </w:rPr>
    </w:lvl>
    <w:lvl w:ilvl="7">
      <w:start w:val="1"/>
      <w:numFmt w:val="bullet"/>
      <w:lvlText w:val="o"/>
      <w:lvlJc w:val="left"/>
      <w:pPr>
        <w:ind w:left="6300" w:hanging="360"/>
      </w:pPr>
      <w:rPr>
        <w:rFonts w:ascii="Courier New" w:cs="Courier New" w:eastAsia="Courier New" w:hAnsi="Courier New"/>
      </w:rPr>
    </w:lvl>
    <w:lvl w:ilvl="8">
      <w:start w:val="1"/>
      <w:numFmt w:val="bullet"/>
      <w:lvlText w:val="▪"/>
      <w:lvlJc w:val="left"/>
      <w:pPr>
        <w:ind w:left="7020" w:hanging="360"/>
      </w:pPr>
      <w:rPr>
        <w:rFonts w:ascii="Noto Sans Symbols" w:cs="Noto Sans Symbols" w:eastAsia="Noto Sans Symbols" w:hAnsi="Noto Sans Symbols"/>
      </w:rPr>
    </w:lvl>
  </w:abstractNum>
  <w:abstractNum w:abstractNumId="5">
    <w:lvl w:ilvl="0">
      <w:start w:val="0"/>
      <w:numFmt w:val="bullet"/>
      <w:lvlText w:val="●"/>
      <w:lvlJc w:val="left"/>
      <w:pPr>
        <w:ind w:left="2058" w:hanging="360"/>
      </w:pPr>
      <w:rPr>
        <w:rFonts w:ascii="Calibri" w:cs="Calibri" w:eastAsia="Calibri" w:hAnsi="Calibri"/>
        <w:sz w:val="24"/>
        <w:szCs w:val="24"/>
      </w:rPr>
    </w:lvl>
    <w:lvl w:ilvl="1">
      <w:start w:val="0"/>
      <w:numFmt w:val="bullet"/>
      <w:lvlText w:val="•"/>
      <w:lvlJc w:val="left"/>
      <w:pPr>
        <w:ind w:left="2634" w:hanging="360"/>
      </w:pPr>
      <w:rPr/>
    </w:lvl>
    <w:lvl w:ilvl="2">
      <w:start w:val="0"/>
      <w:numFmt w:val="bullet"/>
      <w:lvlText w:val="•"/>
      <w:lvlJc w:val="left"/>
      <w:pPr>
        <w:ind w:left="3217" w:hanging="360"/>
      </w:pPr>
      <w:rPr/>
    </w:lvl>
    <w:lvl w:ilvl="3">
      <w:start w:val="0"/>
      <w:numFmt w:val="bullet"/>
      <w:lvlText w:val="•"/>
      <w:lvlJc w:val="left"/>
      <w:pPr>
        <w:ind w:left="3800" w:hanging="360"/>
      </w:pPr>
      <w:rPr/>
    </w:lvl>
    <w:lvl w:ilvl="4">
      <w:start w:val="0"/>
      <w:numFmt w:val="bullet"/>
      <w:lvlText w:val="•"/>
      <w:lvlJc w:val="left"/>
      <w:pPr>
        <w:ind w:left="4383" w:hanging="360"/>
      </w:pPr>
      <w:rPr/>
    </w:lvl>
    <w:lvl w:ilvl="5">
      <w:start w:val="0"/>
      <w:numFmt w:val="bullet"/>
      <w:lvlText w:val="•"/>
      <w:lvlJc w:val="left"/>
      <w:pPr>
        <w:ind w:left="4966" w:hanging="360"/>
      </w:pPr>
      <w:rPr/>
    </w:lvl>
    <w:lvl w:ilvl="6">
      <w:start w:val="0"/>
      <w:numFmt w:val="bullet"/>
      <w:lvlText w:val="•"/>
      <w:lvlJc w:val="left"/>
      <w:pPr>
        <w:ind w:left="5548" w:hanging="360"/>
      </w:pPr>
      <w:rPr/>
    </w:lvl>
    <w:lvl w:ilvl="7">
      <w:start w:val="0"/>
      <w:numFmt w:val="bullet"/>
      <w:lvlText w:val="•"/>
      <w:lvlJc w:val="left"/>
      <w:pPr>
        <w:ind w:left="6131" w:hanging="360"/>
      </w:pPr>
      <w:rPr/>
    </w:lvl>
    <w:lvl w:ilvl="8">
      <w:start w:val="0"/>
      <w:numFmt w:val="bullet"/>
      <w:lvlText w:val="•"/>
      <w:lvlJc w:val="left"/>
      <w:pPr>
        <w:ind w:left="6714"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s-ES"/>
      </w:rPr>
    </w:rPrDefault>
    <w:pPrDefault>
      <w:pPr>
        <w:spacing w:line="480" w:lineRule="auto"/>
        <w:ind w:firstLine="72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237" w:lineRule="auto"/>
      <w:ind w:left="450" w:hanging="284"/>
    </w:pPr>
    <w:rPr>
      <w:rFonts w:ascii="Trebuchet MS" w:cs="Trebuchet MS" w:eastAsia="Trebuchet MS" w:hAnsi="Trebuchet MS"/>
      <w:b w:val="1"/>
      <w:sz w:val="20"/>
      <w:szCs w:val="20"/>
    </w:rPr>
  </w:style>
  <w:style w:type="paragraph" w:styleId="Heading2">
    <w:name w:val="heading 2"/>
    <w:basedOn w:val="Normal"/>
    <w:next w:val="Normal"/>
    <w:pPr>
      <w:keepNext w:val="1"/>
      <w:keepLines w:val="1"/>
      <w:spacing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before="40" w:lineRule="auto"/>
    </w:pPr>
    <w:rPr>
      <w:rFonts w:ascii="Cambria" w:cs="Cambria" w:eastAsia="Cambria" w:hAnsi="Cambria"/>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48" w:lineRule="auto"/>
      <w:ind w:left="110"/>
    </w:pPr>
    <w:rPr>
      <w:rFonts w:ascii="Trebuchet MS" w:cs="Trebuchet MS" w:eastAsia="Trebuchet MS" w:hAnsi="Trebuchet MS"/>
      <w:b w:val="1"/>
      <w:sz w:val="27"/>
      <w:szCs w:val="27"/>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dx.doi.org/10.4067/S0718-07052021000400149" TargetMode="External"/><Relationship Id="rId42" Type="http://schemas.openxmlformats.org/officeDocument/2006/relationships/hyperlink" Target="http://www.cochrane-handbook.org" TargetMode="External"/><Relationship Id="rId41" Type="http://schemas.openxmlformats.org/officeDocument/2006/relationships/hyperlink" Target="https://dialnet.unirioja.es/servlet/articulo?codigo=6525199" TargetMode="External"/><Relationship Id="rId44" Type="http://schemas.openxmlformats.org/officeDocument/2006/relationships/hyperlink" Target="https://www.redalyc.org/pdf/3776/377657496004.pdf" TargetMode="External"/><Relationship Id="rId43" Type="http://schemas.openxmlformats.org/officeDocument/2006/relationships/hyperlink" Target="https://doi.org/10.52080/rvgluz.28.101.26" TargetMode="External"/><Relationship Id="rId46" Type="http://schemas.openxmlformats.org/officeDocument/2006/relationships/hyperlink" Target="https://doi.org/10.30827/publicaciones.v51i1.15746" TargetMode="External"/><Relationship Id="rId45" Type="http://schemas.openxmlformats.org/officeDocument/2006/relationships/hyperlink" Target="https://doi.org/10.3390/su1218726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3.png"/><Relationship Id="rId48" Type="http://schemas.openxmlformats.org/officeDocument/2006/relationships/hyperlink" Target="https://doi.org/10.52080/rvgluz.28.101.26" TargetMode="External"/><Relationship Id="rId47" Type="http://schemas.openxmlformats.org/officeDocument/2006/relationships/hyperlink" Target="https://dx.doi.org/10.4067/S0718-50062021000200095" TargetMode="External"/><Relationship Id="rId49" Type="http://schemas.openxmlformats.org/officeDocument/2006/relationships/hyperlink" Target="https://doi.org/10.19136/etie.a4n8A.475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15.png"/><Relationship Id="rId31" Type="http://schemas.openxmlformats.org/officeDocument/2006/relationships/hyperlink" Target="https://doi.org/10.15366/riejs2021.10.2.008" TargetMode="External"/><Relationship Id="rId30" Type="http://schemas.openxmlformats.org/officeDocument/2006/relationships/header" Target="header2.xml"/><Relationship Id="rId33" Type="http://schemas.openxmlformats.org/officeDocument/2006/relationships/hyperlink" Target="https://repositorio.ucundinamarca.edu.co/handle/20.500.12558/1531" TargetMode="External"/><Relationship Id="rId32" Type="http://schemas.openxmlformats.org/officeDocument/2006/relationships/hyperlink" Target="https://doi.org/10.15381/idata.v18i2.12097" TargetMode="External"/><Relationship Id="rId35" Type="http://schemas.openxmlformats.org/officeDocument/2006/relationships/hyperlink" Target="https://dominiodelasciencias.com/ojs/index.php/es/article/view/297/pdf" TargetMode="External"/><Relationship Id="rId34" Type="http://schemas.openxmlformats.org/officeDocument/2006/relationships/hyperlink" Target="https://media.iese.edu/research/pdfs/ST-0320.pdf" TargetMode="External"/><Relationship Id="rId37" Type="http://schemas.openxmlformats.org/officeDocument/2006/relationships/hyperlink" Target="https://www.europarl.europa.eu/meetdocs/committees/empl/20021111/com(2002)347_ES.pdf" TargetMode="External"/><Relationship Id="rId36" Type="http://schemas.openxmlformats.org/officeDocument/2006/relationships/hyperlink" Target="http://dx.doi.org/10.1016/j.heliyon.2021.e06450" TargetMode="External"/><Relationship Id="rId39" Type="http://schemas.openxmlformats.org/officeDocument/2006/relationships/hyperlink" Target="https://www.jstor.org/stable/3857340" TargetMode="External"/><Relationship Id="rId38" Type="http://schemas.openxmlformats.org/officeDocument/2006/relationships/hyperlink" Target="https://doi.org/10.1344/REYD2021.1EXT.37700" TargetMode="External"/><Relationship Id="rId20" Type="http://schemas.openxmlformats.org/officeDocument/2006/relationships/image" Target="media/image6.png"/><Relationship Id="rId22" Type="http://schemas.openxmlformats.org/officeDocument/2006/relationships/hyperlink" Target="mailto:mattagarzon99@outlook.es" TargetMode="External"/><Relationship Id="rId21" Type="http://schemas.openxmlformats.org/officeDocument/2006/relationships/image" Target="media/image1.png"/><Relationship Id="rId24" Type="http://schemas.openxmlformats.org/officeDocument/2006/relationships/image" Target="media/image2.png"/><Relationship Id="rId23" Type="http://schemas.openxmlformats.org/officeDocument/2006/relationships/hyperlink" Target="mailto:mattagarzon99@outlook.es" TargetMode="External"/><Relationship Id="rId26" Type="http://schemas.openxmlformats.org/officeDocument/2006/relationships/image" Target="media/image5.png"/><Relationship Id="rId25" Type="http://schemas.openxmlformats.org/officeDocument/2006/relationships/hyperlink" Target="mailto:jairo.16.jf@gmail.com" TargetMode="External"/><Relationship Id="rId28" Type="http://schemas.openxmlformats.org/officeDocument/2006/relationships/image" Target="media/image10.png"/><Relationship Id="rId27" Type="http://schemas.openxmlformats.org/officeDocument/2006/relationships/image" Target="media/image14.png"/><Relationship Id="rId29" Type="http://schemas.openxmlformats.org/officeDocument/2006/relationships/header" Target="header1.xml"/><Relationship Id="rId51" Type="http://schemas.openxmlformats.org/officeDocument/2006/relationships/hyperlink" Target="https://www.researchgate.net/publication/328641216_La_Bibliometria_en_la_evaluacion_de_la_actividad_cientifica" TargetMode="External"/><Relationship Id="rId50" Type="http://schemas.openxmlformats.org/officeDocument/2006/relationships/hyperlink" Target="https://dx.doi.org/10.4067/S0718-50062021000500019" TargetMode="External"/><Relationship Id="rId53" Type="http://schemas.openxmlformats.org/officeDocument/2006/relationships/hyperlink" Target="https://dialnet.unirioja.es/servlet/articulo?codigo=5802930" TargetMode="External"/><Relationship Id="rId52" Type="http://schemas.openxmlformats.org/officeDocument/2006/relationships/hyperlink" Target="https://www.google.com.co/books/edition/Responsabilidad_social_universitaria/ATeGDwAAQBAJ?hl=es-419&amp;gbpv=1" TargetMode="External"/><Relationship Id="rId11" Type="http://schemas.openxmlformats.org/officeDocument/2006/relationships/image" Target="media/image16.png"/><Relationship Id="rId10" Type="http://schemas.openxmlformats.org/officeDocument/2006/relationships/image" Target="media/image21.png"/><Relationship Id="rId13" Type="http://schemas.openxmlformats.org/officeDocument/2006/relationships/image" Target="media/image7.png"/><Relationship Id="rId12" Type="http://schemas.openxmlformats.org/officeDocument/2006/relationships/image" Target="media/image8.png"/><Relationship Id="rId15" Type="http://schemas.openxmlformats.org/officeDocument/2006/relationships/image" Target="media/image12.png"/><Relationship Id="rId14" Type="http://schemas.openxmlformats.org/officeDocument/2006/relationships/image" Target="media/image9.png"/><Relationship Id="rId17" Type="http://schemas.openxmlformats.org/officeDocument/2006/relationships/image" Target="media/image3.png"/><Relationship Id="rId16" Type="http://schemas.openxmlformats.org/officeDocument/2006/relationships/image" Target="media/image11.png"/><Relationship Id="rId19" Type="http://schemas.openxmlformats.org/officeDocument/2006/relationships/image" Target="media/image18.png"/><Relationship Id="rId18" Type="http://schemas.openxmlformats.org/officeDocument/2006/relationships/image" Target="media/image19.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 Id="rId2"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5XFPxf4JdQH9sMksJQ+bBq2z5w==">CgMxLjAyCWlkLmdqZGd4czIKaWQuMzBqMHpsbDIKaWQuMWZvYjl0ZTIJaC4zem55c2g3MgloLjJldDkycDAyCWlkLnR5amN3dDIJaC4zZHk2dmttMgloLjF0M2g1c2YyCWguNGQzNG9nODIJaC4yczhleW8xMgppZC4xN2RwOHZ1MgppZC4zcmRjcmpuMgloLjI2aW4xcmcyCGgubG54Yno5OAByITFIMEVhQ19wS3hvd1pveDZSenJvWDBaX016ZEppVElkWQ==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2023-11-27T00:00:00Z</vt:lpwstr>
  </property>
  <property fmtid="{D5CDD505-2E9C-101B-9397-08002B2CF9AE}" pid="3" name="Creator">
    <vt:lpwstr>Adobe InDesign 18.4 (Windows)</vt:lpwstr>
  </property>
  <property fmtid="{D5CDD505-2E9C-101B-9397-08002B2CF9AE}" pid="4" name="Created">
    <vt:lpwstr>2023-10-17T00:00:00Z</vt:lpwstr>
  </property>
</Properties>
</file>